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1C5AF00E">
      <w:pPr>
        <w:spacing w:before="100" w:beforeAutospacing="1" w:after="100" w:afterAutospacing="1" w:line="360" w:lineRule="auto"/>
        <w:ind w:left="0" w:right="0" w:firstLine="0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</w:rPr>
        <w:t>Ofício CM - /2026</w:t>
      </w:r>
    </w:p>
    <w:p w14:paraId="07260424">
      <w:pPr>
        <w:spacing w:before="100" w:beforeAutospacing="1" w:after="100" w:afterAutospacing="1" w:line="360" w:lineRule="auto"/>
        <w:ind w:left="0" w:right="0" w:firstLine="0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Bragança Paulista, </w:t>
      </w:r>
      <w:r>
        <w:rPr>
          <w:rFonts w:ascii="Arial" w:eastAsia="Arial" w:hAnsi="Arial" w:cs="Arial"/>
          <w:sz w:val="24"/>
          <w:szCs w:val="24"/>
        </w:rPr>
        <w:t xml:space="preserve">23 de </w:t>
      </w:r>
      <w:r>
        <w:rPr>
          <w:rFonts w:ascii="Arial" w:eastAsia="Arial" w:hAnsi="Arial" w:cs="Arial"/>
          <w:sz w:val="24"/>
          <w:szCs w:val="24"/>
        </w:rPr>
        <w:t>março</w:t>
      </w:r>
      <w:r>
        <w:rPr>
          <w:rFonts w:ascii="Arial" w:eastAsia="Arial" w:hAnsi="Arial" w:cs="Arial"/>
          <w:sz w:val="24"/>
          <w:szCs w:val="24"/>
        </w:rPr>
        <w:t xml:space="preserve"> de 2026.</w:t>
      </w:r>
    </w:p>
    <w:p w14:paraId="3B301A40">
      <w:pPr>
        <w:spacing w:before="100" w:beforeAutospacing="1" w:after="100" w:afterAutospacing="1" w:line="360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Exmo. Sr. </w:t>
      </w:r>
    </w:p>
    <w:p w14:paraId="621183BC">
      <w:pPr>
        <w:spacing w:before="100" w:beforeAutospacing="1" w:after="100" w:afterAutospacing="1" w:line="360" w:lineRule="auto"/>
        <w:ind w:left="0" w:righ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SEBASTIÃO GARCIA AMARAL</w:t>
      </w:r>
    </w:p>
    <w:p w14:paraId="51DAF011">
      <w:pPr>
        <w:spacing w:before="100" w:beforeAutospacing="1" w:after="100" w:afterAutospacing="1" w:line="360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DD. Presidente da Câmara Municipal de Bragança Paulista</w:t>
      </w:r>
    </w:p>
    <w:p w14:paraId="47D26DE8">
      <w:pPr>
        <w:spacing w:before="100" w:beforeAutospacing="1" w:after="100" w:afterAutospacing="1" w:line="360" w:lineRule="auto"/>
        <w:ind w:left="0" w:right="0" w:firstLine="0"/>
        <w:jc w:val="both"/>
        <w:rPr>
          <w:rFonts w:ascii="Arial" w:hAnsi="Arial" w:cs="Arial"/>
          <w:sz w:val="24"/>
          <w:szCs w:val="24"/>
        </w:rPr>
      </w:pPr>
    </w:p>
    <w:p w14:paraId="49422ABE">
      <w:pPr>
        <w:spacing w:line="360" w:lineRule="auto"/>
        <w:ind w:left="0" w:right="0" w:firstLine="0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>Prezado Senhor,</w:t>
      </w:r>
    </w:p>
    <w:p w14:paraId="305D6141">
      <w:pPr>
        <w:spacing w:line="360" w:lineRule="auto"/>
        <w:ind w:left="0" w:right="0" w:firstLine="1134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 xml:space="preserve">Cumprimentando-o cordialmente, tenho a honra de encaminhar a Vossa Excelência, para a elevada apreciação e deliberação dessa Egrégia Casa de Leis, o incluso Projeto de Lei Complementar que </w:t>
      </w:r>
      <w:r>
        <w:rPr>
          <w:rFonts w:ascii="Arial" w:eastAsia="Arial" w:hAnsi="Arial" w:cs="Arial"/>
          <w:b w:val="0"/>
          <w:bCs w:val="0"/>
          <w:color w:val="000000"/>
          <w:sz w:val="24"/>
          <w:szCs w:val="24"/>
        </w:rPr>
        <w:t>Institui o Programa Municipal de Segurança Alimentar (PMSA) aos servidores aposentados, inativos e pensionistas da Prefeitura Municipal de Bragança Paulista e dá outras providências</w:t>
      </w:r>
      <w:r>
        <w:rPr>
          <w:rFonts w:ascii="Arial" w:eastAsia="Arial" w:hAnsi="Arial" w:cs="Arial"/>
          <w:b w:val="0"/>
          <w:bCs w:val="0"/>
          <w:sz w:val="24"/>
          <w:szCs w:val="24"/>
          <w:highlight w:val="none"/>
        </w:rPr>
        <w:t>.</w:t>
      </w:r>
    </w:p>
    <w:p w14:paraId="5C6E9106">
      <w:pPr>
        <w:spacing w:line="360" w:lineRule="auto"/>
        <w:ind w:left="0" w:right="0" w:firstLine="1134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>A presente propositura foi elaborada com o apoio técnico-jurídico da Secretaria Municipal de Assuntos Jurídicos, em estrita observância aos parâmetros constitucionais e administrativos aplicáveis à matéria.</w:t>
      </w:r>
    </w:p>
    <w:p w14:paraId="2C65651E">
      <w:pPr>
        <w:spacing w:line="360" w:lineRule="auto"/>
        <w:ind w:left="0" w:right="0" w:firstLine="1134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 xml:space="preserve">A proposição encontra fundamento no reconhecimento de que a alimentação adequada constitui direito fundamental do ser humano, diretamente relacionado à dignidade da pessoa humana e à efetivação dos direitos sociais previstos na Constituição Federal. Nesse </w:t>
      </w:r>
      <w:r>
        <w:rPr>
          <w:rFonts w:ascii="Arial" w:eastAsia="Arial" w:hAnsi="Arial" w:cs="Arial"/>
          <w:sz w:val="24"/>
          <w:szCs w:val="24"/>
        </w:rPr>
        <w:t>sentido, cabe ao Poder Público desenvolver políticas públicas que assegurem o acesso regular e permanente a alimentos de qualidade, especialmente àqueles em situação de maior vulnerabilidade.</w:t>
      </w:r>
    </w:p>
    <w:p w14:paraId="44F07AEE">
      <w:pPr>
        <w:spacing w:line="360" w:lineRule="auto"/>
        <w:ind w:left="0" w:right="0" w:firstLine="1134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>No caso dos servidores aposentados, inativos e pensionistas, é notório que a transição para a inatividade frequentemente acarreta redução da renda, ao mesmo tempo em que se verifica o aumento das despesas com medicamentos, tratamentos de saúde e outras nec</w:t>
      </w:r>
      <w:r>
        <w:rPr>
          <w:rFonts w:ascii="Arial" w:eastAsia="Arial" w:hAnsi="Arial" w:cs="Arial"/>
          <w:sz w:val="24"/>
          <w:szCs w:val="24"/>
        </w:rPr>
        <w:t>essidades essenciais. Tal cenário pode comprometer significativamente o acesso à alimentação adequada, sobretudo para aqueles que percebem proventos mais modestos.</w:t>
      </w:r>
    </w:p>
    <w:p w14:paraId="5BD6FFD6">
      <w:pPr>
        <w:spacing w:line="360" w:lineRule="auto"/>
        <w:ind w:left="0" w:right="0" w:firstLine="1134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>O presente projeto, ao instituir o Benefício Assistencial Suplementar de Segurança Alimentar (BASSA), no valor mensal de R$ 500,00, busca mitigar essa realidade, oferecendo suporte direto à segurança alimentar. Trata-se de benefí</w:t>
      </w:r>
      <w:r>
        <w:rPr>
          <w:rFonts w:ascii="Arial" w:eastAsia="Arial" w:hAnsi="Arial" w:cs="Arial"/>
          <w:sz w:val="24"/>
          <w:szCs w:val="24"/>
        </w:rPr>
        <w:t>cio de natureza estritamente assistencial, não possuindo caráter remuneratório ou previdenciário, mas sim voltado à promoção do bem-estar e da qualidade de vida dos beneficiários.</w:t>
      </w:r>
    </w:p>
    <w:p w14:paraId="3A099EC4">
      <w:pPr>
        <w:spacing w:line="360" w:lineRule="auto"/>
        <w:ind w:left="0" w:right="0" w:firstLine="1134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>Importante destacar que o programa foi estruturado com critérios objetivos de elegibilidade, priorizando aqueles com menor renda e exigindo análise socioeconômica por profissional habilitado, garantindo, assim, justiça distributiva e adequada aplicação dos</w:t>
      </w:r>
      <w:r>
        <w:rPr>
          <w:rFonts w:ascii="Arial" w:eastAsia="Arial" w:hAnsi="Arial" w:cs="Arial"/>
          <w:sz w:val="24"/>
          <w:szCs w:val="24"/>
        </w:rPr>
        <w:t xml:space="preserve"> recursos públicos. Ademais, prevê mecanismos de controle, fiscalização e revisão periódica do benefício, assegurando transparência e responsabilidade na gestão.</w:t>
      </w:r>
    </w:p>
    <w:p w14:paraId="04DFF6B5">
      <w:pPr>
        <w:spacing w:line="360" w:lineRule="auto"/>
        <w:ind w:left="0" w:right="0" w:firstLine="1134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>A iniciativa também se alinha às diretrizes da Lei Federal nº 11.346/2006 (Lei Orgânica de Segurança Alimentar e Nutricional), bem como às boas práticas de políticas públicas voltadas à assistência social, reforçando o compromisso do Município com a promoç</w:t>
      </w:r>
      <w:r>
        <w:rPr>
          <w:rFonts w:ascii="Arial" w:eastAsia="Arial" w:hAnsi="Arial" w:cs="Arial"/>
          <w:sz w:val="24"/>
          <w:szCs w:val="24"/>
        </w:rPr>
        <w:t>ão da dignidade humana e a redução das desigualdades sociais.</w:t>
      </w:r>
    </w:p>
    <w:p w14:paraId="1C92A331">
      <w:pPr>
        <w:spacing w:line="360" w:lineRule="auto"/>
        <w:ind w:left="0" w:righ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Diante do exposto, solicito a acolhida e aprovação do presente Projeto de Lei Complementar, reiterando a Vossa Excelência e aos Ilustres Vereadores os mais elevados votos de estima e distinta consideração.</w:t>
      </w:r>
    </w:p>
    <w:p w14:paraId="1A8FC7D4">
      <w:pPr>
        <w:spacing w:line="360" w:lineRule="auto"/>
        <w:ind w:left="0" w:righ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1FA44AA6">
      <w:pPr>
        <w:spacing w:line="36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31698084">
      <w:pPr>
        <w:spacing w:line="360" w:lineRule="auto"/>
        <w:ind w:left="0" w:right="0"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EDMIR CHEDID</w:t>
      </w:r>
    </w:p>
    <w:p w14:paraId="4FA755C2">
      <w:pPr>
        <w:spacing w:line="360" w:lineRule="auto"/>
        <w:ind w:left="0" w:right="0" w:firstLine="0"/>
        <w:jc w:val="center"/>
        <w:rPr>
          <w:rFonts w:ascii="Arial" w:eastAsia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</w:rPr>
        <w:t>Prefeito Municipal</w:t>
      </w:r>
    </w:p>
    <w:p w14:paraId="1A8C9DFB">
      <w:pPr>
        <w:spacing w:line="360" w:lineRule="auto"/>
        <w:ind w:left="0" w:righ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</w:p>
    <w:p w14:paraId="7B6E970F">
      <w:pPr>
        <w:spacing w:before="240" w:line="360" w:lineRule="auto"/>
        <w:ind w:left="1701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PROJETO DE LEI COMPLEMENTAR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Nº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z w:val="24"/>
          <w:szCs w:val="24"/>
        </w:rPr>
        <w:t>2026</w:t>
      </w:r>
    </w:p>
    <w:p w14:paraId="5F7CA897">
      <w:pPr>
        <w:spacing w:before="240" w:line="360" w:lineRule="auto"/>
        <w:ind w:left="1701"/>
        <w:rPr>
          <w:rFonts w:ascii="Arial" w:hAnsi="Arial" w:cs="Arial"/>
          <w:b/>
          <w:bCs/>
          <w:sz w:val="24"/>
          <w:szCs w:val="24"/>
          <w:highlight w:val="none"/>
        </w:rPr>
      </w:pPr>
    </w:p>
    <w:p w14:paraId="36F2B2B1">
      <w:pPr>
        <w:spacing w:line="360" w:lineRule="auto"/>
        <w:ind w:left="1701"/>
        <w:jc w:val="both"/>
        <w:rPr>
          <w:rFonts w:ascii="Arial" w:hAnsi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‘’INSTITUI O PROGRAMA MUNICIPAL DE SEGURANÇA ALIMENTAR (PMSA) AOS SERVIDORES APOSENTADOS, INATIVOS E PENSIONISTAS DA PREFEITURA MUNICIPAL DE BRAGANÇA PAULISTA E DÁ OUTRAS PROVIDÊNCIAS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’’</w:t>
      </w:r>
    </w:p>
    <w:p w14:paraId="25AB4404">
      <w:pPr>
        <w:spacing w:line="360" w:lineRule="auto"/>
        <w:ind w:left="1701"/>
        <w:jc w:val="both"/>
        <w:rPr>
          <w:rFonts w:ascii="Arial" w:hAnsi="Arial" w:cs="Arial"/>
          <w:b/>
          <w:bCs/>
          <w:color w:val="000000"/>
          <w:sz w:val="24"/>
          <w:szCs w:val="24"/>
          <w:highlight w:val="none"/>
        </w:rPr>
      </w:pPr>
    </w:p>
    <w:p w14:paraId="6E5F4A8C">
      <w:pPr>
        <w:spacing w:line="360" w:lineRule="auto"/>
        <w:ind w:left="0" w:right="0" w:firstLine="1701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que a alimentação adequada é direito fundamental do ser humano, inerente à dignidade da pessoa humana e indispensável à realização dos direitos consagrados na Constituição Federal, devendo o Poder Público adotar as políticas e ações que se faç</w:t>
      </w:r>
      <w:r>
        <w:rPr>
          <w:rFonts w:ascii="Arial" w:eastAsia="Arial" w:hAnsi="Arial" w:cs="Arial"/>
          <w:sz w:val="24"/>
          <w:szCs w:val="24"/>
        </w:rPr>
        <w:t>am necessárias para promover e garantir a segurança alimentar e nutricional da população;</w:t>
      </w:r>
    </w:p>
    <w:p w14:paraId="6A4C694F">
      <w:pPr>
        <w:spacing w:line="360" w:lineRule="auto"/>
        <w:ind w:left="0" w:right="0" w:firstLine="1701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que a segurança alimentar e nutricional consiste na realização do direito ao acesso regular e permanente a alimentos de qualidade, em quantidade suficiente, sem comprometer o acesso a outras necessidades essenciais, tendo como base práticas al</w:t>
      </w:r>
      <w:r>
        <w:rPr>
          <w:rFonts w:ascii="Arial" w:eastAsia="Arial" w:hAnsi="Arial" w:cs="Arial"/>
          <w:sz w:val="24"/>
          <w:szCs w:val="24"/>
        </w:rPr>
        <w:t>imentares promotoras de saúde que respeitem a diversidade cultural e que sejam ambiental, cultural, econômica e socialmente sustentáveis;</w:t>
      </w:r>
    </w:p>
    <w:p w14:paraId="02AF504B">
      <w:pPr>
        <w:spacing w:line="360" w:lineRule="auto"/>
        <w:ind w:left="0" w:right="0" w:firstLine="1701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que o envelhecimento traz mudanças fisiológicas que exigem uma dieta especializada, segura e de qualidade para prevenção de doenças crônicas e melhoria da qualidade de vida, bem como que o programa de segurança alimentar garante o acesso a ali</w:t>
      </w:r>
      <w:r>
        <w:rPr>
          <w:rFonts w:ascii="Arial" w:eastAsia="Arial" w:hAnsi="Arial" w:cs="Arial"/>
          <w:sz w:val="24"/>
          <w:szCs w:val="24"/>
        </w:rPr>
        <w:t>mentos nutritivos, fundamentais para manutenção da saúde e da qualidade de vida;</w:t>
      </w:r>
    </w:p>
    <w:p w14:paraId="302ED692">
      <w:pPr>
        <w:spacing w:line="360" w:lineRule="auto"/>
        <w:ind w:left="0" w:right="0" w:firstLine="1701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que servidores inativos enfrentam, via de regra, um aumento de seus gastos com medicamentos e tratamentos médicos, o programa municipal de segurança alimentar - benefício assistencial suplementar atuará como suporte à segurança alimentar do se</w:t>
      </w:r>
      <w:r>
        <w:rPr>
          <w:rFonts w:ascii="Arial" w:eastAsia="Arial" w:hAnsi="Arial" w:cs="Arial"/>
          <w:sz w:val="24"/>
          <w:szCs w:val="24"/>
        </w:rPr>
        <w:t>rvidor inativo, aposentado ou pensionista da Prefeitura Municipal de Bragança Paulista;</w:t>
      </w:r>
    </w:p>
    <w:p w14:paraId="76DD1279">
      <w:pPr>
        <w:spacing w:line="360" w:lineRule="auto"/>
        <w:ind w:left="0" w:right="0" w:firstLine="1701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a necessidade de garantir a alimentação adequada e combater a insegurança alimentar dos Servidores Aposentados, Inativos e Pensionistas da Prefeitura Municipal de Bragança Paulista vinculados ao Regime Geral de Previdência Social, mitigando a </w:t>
      </w:r>
      <w:r>
        <w:rPr>
          <w:rFonts w:ascii="Arial" w:eastAsia="Arial" w:hAnsi="Arial" w:cs="Arial"/>
          <w:sz w:val="24"/>
          <w:szCs w:val="24"/>
        </w:rPr>
        <w:t>perda de renda que frequentemente acompanha a inatividade;</w:t>
      </w:r>
    </w:p>
    <w:p w14:paraId="67C31C26">
      <w:pPr>
        <w:spacing w:line="360" w:lineRule="auto"/>
        <w:ind w:left="0" w:right="0" w:firstLine="1701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que o Programa Municipal de Segurança Alimentar (PMSA) destinado aos Servidores Aposentados, Inativos e Pensionistas da Prefeitura Municipal de Bragança Paulista vinculados ao Regime Geral de Previdência Social visa não apenas a disponibilida</w:t>
      </w:r>
      <w:r>
        <w:rPr>
          <w:rFonts w:ascii="Arial" w:eastAsia="Arial" w:hAnsi="Arial" w:cs="Arial"/>
          <w:sz w:val="24"/>
          <w:szCs w:val="24"/>
        </w:rPr>
        <w:t>de, mas o acesso físico e financeiro a alimentos seguros, garantindo que o servidor tenha, de forma regular e permanente, refeições de qualidade;</w:t>
      </w:r>
    </w:p>
    <w:p w14:paraId="1FFF6592">
      <w:pPr>
        <w:spacing w:line="360" w:lineRule="auto"/>
        <w:ind w:left="0" w:right="0" w:firstLine="1701"/>
        <w:jc w:val="both"/>
        <w:rPr>
          <w:rFonts w:ascii="Arial" w:eastAsia="Arial" w:hAnsi="Arial" w:cs="Arial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que o Programa Municipal de Segurança Alimentar (PMSA) destinado aos Servidores Aposentados, Inativos e Pensionistas da Prefeitura Municipal de Bragança Paulista vinculados ao Regime Geral de Previdência Social vai ao encontro das boas prátic</w:t>
      </w:r>
      <w:r>
        <w:rPr>
          <w:rFonts w:ascii="Arial" w:eastAsia="Arial" w:hAnsi="Arial" w:cs="Arial"/>
          <w:sz w:val="24"/>
          <w:szCs w:val="24"/>
        </w:rPr>
        <w:t>as de políticas públicas de assistência social, tratando a alimentação como um direito, focado no bem-estar integral do servidor.</w:t>
      </w:r>
    </w:p>
    <w:p w14:paraId="65F4588E">
      <w:pPr>
        <w:spacing w:line="360" w:lineRule="auto"/>
        <w:ind w:left="0" w:right="0" w:firstLine="1701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highlight w:val="none"/>
        </w:rPr>
      </w:pPr>
    </w:p>
    <w:p w14:paraId="6BF46A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eastAsia="Arial" w:hAnsi="Arial" w:cs="Arial"/>
          <w:bCs/>
          <w:sz w:val="24"/>
          <w:szCs w:val="24"/>
        </w:rPr>
        <w:t>A Câmara Municipal de Bragança Paulista aprovou e eu, Prefeito Municipal, sanciono e promulgo a seguinte Lei Complementar:</w:t>
      </w:r>
    </w:p>
    <w:p w14:paraId="7ABFB5F9">
      <w:pPr>
        <w:pBdr>
          <w:top w:val="nil"/>
          <w:left w:val="nil"/>
          <w:bottom w:val="nil"/>
          <w:right w:val="nil"/>
          <w:between w:val="nil"/>
        </w:pBdr>
        <w:tabs>
          <w:tab w:val="left" w:pos="1950"/>
        </w:tabs>
        <w:spacing w:line="360" w:lineRule="auto"/>
        <w:ind w:firstLine="1701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Art. 1º </w:t>
      </w:r>
      <w:r>
        <w:rPr>
          <w:rFonts w:ascii="Arial" w:eastAsia="Arial" w:hAnsi="Arial" w:cs="Arial"/>
          <w:sz w:val="24"/>
          <w:szCs w:val="24"/>
        </w:rPr>
        <w:t>Fica instituído o Programa Municipal de Segurança Alimentar (PMSA), no âmbito da Secretaria Municipal de Ação e Desenvolvimento Social, para destinação de Benefício Assistencial Suplementar de Segurança Alimentar (BASSA) aos Servidores Aposentados, Inativo</w:t>
      </w:r>
      <w:r>
        <w:rPr>
          <w:rFonts w:ascii="Arial" w:eastAsia="Arial" w:hAnsi="Arial" w:cs="Arial"/>
          <w:sz w:val="24"/>
          <w:szCs w:val="24"/>
        </w:rPr>
        <w:t>s e Pensionistas da Prefeitura Municipal de Bragança Paulista vinculados ao Regime Geral de Previdência Social.</w:t>
      </w:r>
    </w:p>
    <w:p w14:paraId="71066408">
      <w:pPr>
        <w:pBdr>
          <w:top w:val="nil"/>
          <w:left w:val="nil"/>
          <w:bottom w:val="nil"/>
          <w:right w:val="nil"/>
          <w:between w:val="nil"/>
        </w:pBdr>
        <w:tabs>
          <w:tab w:val="left" w:pos="1950"/>
        </w:tabs>
        <w:spacing w:line="360" w:lineRule="auto"/>
        <w:ind w:firstLine="1701"/>
        <w:jc w:val="both"/>
        <w:rPr>
          <w:rFonts w:ascii="Arial" w:hAnsi="Arial" w:cs="Arial"/>
          <w:b w:val="0"/>
          <w:bCs w:val="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bCs/>
          <w:sz w:val="24"/>
          <w:szCs w:val="24"/>
          <w:highlight w:val="none"/>
        </w:rPr>
        <w:t>Art. 2º</w:t>
      </w:r>
      <w:r>
        <w:rPr>
          <w:rFonts w:ascii="Arial" w:eastAsia="Arial" w:hAnsi="Arial" w:cs="Arial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Programa Municipal de Segurança Alimentar para Servidores Aposentados, Inativos e Pensionistas da Prefeitura Municipal de Bragança Paulista vinculados ao Regime Geral de Previdência Social tem como objetivo assegurar o direito humano à alimentação adequa</w:t>
      </w:r>
      <w:r>
        <w:rPr>
          <w:rFonts w:ascii="Arial" w:eastAsia="Arial" w:hAnsi="Arial" w:cs="Arial"/>
          <w:sz w:val="24"/>
          <w:szCs w:val="24"/>
        </w:rPr>
        <w:t>da e combater a insegurança alimentar, nos termos da Lei Federal nº 11.346, de 15 de setembro de 2006.</w:t>
      </w:r>
    </w:p>
    <w:p w14:paraId="43103200">
      <w:pPr>
        <w:tabs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ar-SA"/>
        </w:rPr>
        <w:t xml:space="preserve">Art. 3º </w:t>
      </w:r>
      <w:r>
        <w:rPr>
          <w:rFonts w:ascii="Arial" w:eastAsia="Arial" w:hAnsi="Arial" w:cs="Arial"/>
          <w:sz w:val="24"/>
          <w:szCs w:val="24"/>
        </w:rPr>
        <w:t>O Benefício Assistencial Suplementar de Segurança Alimentar (BASSA) de que trata esta Lei Complementar tem natureza estritamente assistencial, continuada, mas não vitalícia, correspondente ao valor mensal de R$500,00 (quinhentos reais), atualizados anualmen</w:t>
      </w:r>
      <w:r>
        <w:rPr>
          <w:rFonts w:ascii="Arial" w:eastAsia="Arial" w:hAnsi="Arial" w:cs="Arial"/>
          <w:sz w:val="24"/>
          <w:szCs w:val="24"/>
        </w:rPr>
        <w:t>te pelos índices oficiais da inflação.</w:t>
      </w:r>
    </w:p>
    <w:p w14:paraId="576E0329">
      <w:pPr>
        <w:tabs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Parágrafo único. </w:t>
      </w:r>
      <w:r>
        <w:rPr>
          <w:rFonts w:ascii="Arial" w:eastAsia="Arial" w:hAnsi="Arial" w:cs="Arial"/>
          <w:sz w:val="24"/>
          <w:szCs w:val="24"/>
        </w:rPr>
        <w:t>O Benefício Assistencial Suplementar de Segurança Alimentar (BASSA) previsto no Programa Municipal de Segurança Alimentar (PMSA) criado nesta Lei Complementar não tem natureza salarial, indenizatória ou previdenciária, não se confundindo c</w:t>
      </w:r>
      <w:r>
        <w:rPr>
          <w:rFonts w:ascii="Arial" w:eastAsia="Arial" w:hAnsi="Arial" w:cs="Arial"/>
          <w:sz w:val="24"/>
          <w:szCs w:val="24"/>
        </w:rPr>
        <w:t>om remuneração, vencimento, provento ou pensão e não se incorporando aos proventos para quaisquer efeitos legais.</w:t>
      </w:r>
    </w:p>
    <w:p w14:paraId="60E3ABF6">
      <w:pPr>
        <w:tabs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ar-SA"/>
        </w:rPr>
        <w:t xml:space="preserve">Art. 4º </w:t>
      </w:r>
      <w:r>
        <w:rPr>
          <w:rFonts w:ascii="Arial" w:eastAsia="Arial" w:hAnsi="Arial" w:cs="Arial"/>
          <w:sz w:val="24"/>
          <w:szCs w:val="24"/>
        </w:rPr>
        <w:t>São requisitos para a inclusão no Programa Municipal de Segurança Alimentar (PMSA), cumulativamente:</w:t>
      </w:r>
    </w:p>
    <w:p w14:paraId="5233A427">
      <w:pPr>
        <w:tabs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>I – Ser Servidor Aposentado, Inativo e Pensionista da Prefeitura Municipal de Bragança Paulista vinculado ao Regime Geral de Previdência Social;</w:t>
      </w:r>
    </w:p>
    <w:p w14:paraId="082FFE11">
      <w:pPr>
        <w:tabs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>II – Possuir proventos mensais que não ultrapassem 3 (três) salários mínimos nacionais, cumulativamente ao cumprimento mínimo de 10 (dez) anos de efetivo exercício no serviço público municipal;</w:t>
      </w:r>
    </w:p>
    <w:p w14:paraId="773B7E21">
      <w:pPr>
        <w:tabs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>III – Residir no Município de Bragança Paulista;</w:t>
      </w:r>
    </w:p>
    <w:p w14:paraId="6D359B23">
      <w:pPr>
        <w:tabs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>IV – Preenchimento de Formulário solicitando inscrição no Programa Municipal de Segurança Alimentar (PMSA).</w:t>
      </w:r>
    </w:p>
    <w:p w14:paraId="2278D1B8">
      <w:pPr>
        <w:tabs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white"/>
        </w:rPr>
      </w:pPr>
      <w:r>
        <w:rPr>
          <w:rFonts w:ascii="Arial" w:eastAsia="Arial" w:hAnsi="Arial" w:cs="Arial"/>
          <w:b/>
          <w:bCs/>
          <w:sz w:val="24"/>
          <w:szCs w:val="24"/>
        </w:rPr>
        <w:t>Parágrafo único.</w:t>
      </w:r>
      <w:r>
        <w:rPr>
          <w:rFonts w:ascii="Arial" w:eastAsia="Arial" w:hAnsi="Arial" w:cs="Arial"/>
          <w:sz w:val="24"/>
          <w:szCs w:val="24"/>
        </w:rPr>
        <w:t xml:space="preserve"> Fica autorizada a inclusão excepcional no Programa Municipal de Segurança Alimentar (PMSA) o Servidor Aposentado, Inativo ou Pensionista da Prefeitura Municipal de Bragança Paulista vinculado ao Regime Geral de Previdência Social que, pree</w:t>
      </w:r>
      <w:r>
        <w:rPr>
          <w:rFonts w:ascii="Arial" w:eastAsia="Arial" w:hAnsi="Arial" w:cs="Arial"/>
          <w:sz w:val="24"/>
          <w:szCs w:val="24"/>
        </w:rPr>
        <w:t>nchidos os requisitos dos Incisos I, III e IV do presente artigo, comprovar que, mesmo com proventos superiores a 3 (três) salários mínimos nacionais, encontra-se em situação de extrema vulnerabilidade e insegurança alimentar.</w:t>
      </w:r>
    </w:p>
    <w:p w14:paraId="11B5919C">
      <w:pPr>
        <w:tabs>
          <w:tab w:val="left" w:pos="1701"/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  <w:lang w:eastAsia="ar-SA"/>
        </w:rPr>
        <w:t xml:space="preserve">Art. 5º </w:t>
      </w:r>
      <w:r>
        <w:rPr>
          <w:rFonts w:ascii="Arial" w:eastAsia="Arial" w:hAnsi="Arial" w:cs="Arial"/>
          <w:sz w:val="24"/>
          <w:szCs w:val="24"/>
        </w:rPr>
        <w:t xml:space="preserve"> A gestão e seleção dos beneficiários do Benefício Assistencial Suplementar de Segurança Alimentar (BASSA) previsto nesta Lei Complementar compete à Secretaria Municipal de Ação e Desenvolvimento Social, mediante parecer técnico e laudo socioeconômico emit</w:t>
      </w:r>
      <w:r>
        <w:rPr>
          <w:rFonts w:ascii="Arial" w:eastAsia="Arial" w:hAnsi="Arial" w:cs="Arial"/>
          <w:sz w:val="24"/>
          <w:szCs w:val="24"/>
        </w:rPr>
        <w:t>ido por assistente social.</w:t>
      </w:r>
    </w:p>
    <w:p w14:paraId="12614E31">
      <w:pPr>
        <w:tabs>
          <w:tab w:val="left" w:pos="1701"/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white"/>
        </w:rPr>
      </w:pPr>
      <w:r>
        <w:rPr>
          <w:rFonts w:ascii="Arial" w:eastAsia="Arial" w:hAnsi="Arial" w:cs="Arial"/>
          <w:b/>
          <w:bCs/>
          <w:sz w:val="24"/>
          <w:szCs w:val="24"/>
        </w:rPr>
        <w:t>Parágrafo único.</w:t>
      </w:r>
      <w:r>
        <w:rPr>
          <w:rFonts w:ascii="Arial" w:eastAsia="Arial" w:hAnsi="Arial" w:cs="Arial"/>
          <w:sz w:val="24"/>
          <w:szCs w:val="24"/>
        </w:rPr>
        <w:t xml:space="preserve"> O Conselho Municipal de Assistência Social (CMAS) atuará no monitoramento e fiscalização da execução do Programa Municipal de Segurança Alimentar (PMSA).</w:t>
      </w:r>
    </w:p>
    <w:p w14:paraId="05885AD8">
      <w:pPr>
        <w:tabs>
          <w:tab w:val="left" w:pos="1701"/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whit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  <w:lang w:eastAsia="ar-SA"/>
        </w:rPr>
        <w:t xml:space="preserve">Art. 6º </w:t>
      </w:r>
      <w:r>
        <w:rPr>
          <w:rFonts w:ascii="Arial" w:eastAsia="Arial" w:hAnsi="Arial" w:cs="Arial"/>
          <w:sz w:val="24"/>
          <w:szCs w:val="24"/>
        </w:rPr>
        <w:t>Fica vedada a utilização do Benefício Assistencial Suplementar de Segurança Alimentar (BASSA) previsto nesta Lei Complementar para aquisição de bebidas alcoólicas, produtos fumígenos (tabaco) ou itens de perfumaria e cosméticos.</w:t>
      </w:r>
    </w:p>
    <w:p w14:paraId="55B02650">
      <w:pPr>
        <w:tabs>
          <w:tab w:val="left" w:pos="1701"/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whit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  <w:lang w:eastAsia="ar-SA"/>
        </w:rPr>
        <w:t xml:space="preserve">Art. 7º </w:t>
      </w:r>
      <w:r>
        <w:rPr>
          <w:rFonts w:ascii="Arial" w:eastAsia="Arial" w:hAnsi="Arial" w:cs="Arial"/>
          <w:sz w:val="24"/>
          <w:szCs w:val="24"/>
        </w:rPr>
        <w:t xml:space="preserve">O Benefício Assistencial Suplementar de Segurança Alimentar (BASSA) de que trata essa Lei Complementar será concedido pelo prazo ininterrupto de 12 (doze) meses, podendo ser prorrogado, a pedido do Servidor Aposentado, Inativo ou Pensionista da Prefeitura </w:t>
      </w:r>
      <w:r>
        <w:rPr>
          <w:rFonts w:ascii="Arial" w:eastAsia="Arial" w:hAnsi="Arial" w:cs="Arial"/>
          <w:sz w:val="24"/>
          <w:szCs w:val="24"/>
        </w:rPr>
        <w:t>Municipal de Bragança Paulista vinculado ao Regime Geral de Previdência Social ou ainda através de parecer técnico da equipe da Secretaria Municipal de Ação e Desenvolvimento Social se evidenciada a continuidade da insegurança alimentar.</w:t>
      </w:r>
    </w:p>
    <w:p w14:paraId="1193D4FB">
      <w:pPr>
        <w:tabs>
          <w:tab w:val="left" w:pos="1701"/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  <w:lang w:eastAsia="ar-SA"/>
        </w:rPr>
        <w:t xml:space="preserve">Art. 8º </w:t>
      </w:r>
      <w:r>
        <w:rPr>
          <w:rFonts w:ascii="Arial" w:eastAsia="Arial" w:hAnsi="Arial" w:cs="Arial"/>
          <w:sz w:val="24"/>
          <w:szCs w:val="24"/>
        </w:rPr>
        <w:t>São condições de exclusão do beneficiário no Programa Municipal de Segurança Alimentar (PMSA):</w:t>
      </w:r>
    </w:p>
    <w:p w14:paraId="352A8244">
      <w:pPr>
        <w:tabs>
          <w:tab w:val="left" w:pos="1701"/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>I – omissão, ocultação ou falsidade dos dados apresentados na solicitação de inscrição no Programa Municipal de Segurança Alimentar (PMSA);</w:t>
      </w:r>
    </w:p>
    <w:p w14:paraId="3B69A9D7">
      <w:pPr>
        <w:tabs>
          <w:tab w:val="left" w:pos="1701"/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>II – o falecimento do beneficiário do Programa Municipal de Segurança Alimentar (PMSA);</w:t>
      </w:r>
    </w:p>
    <w:p w14:paraId="15BF3A8B">
      <w:pPr>
        <w:tabs>
          <w:tab w:val="left" w:pos="1701"/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>III – o transcurso de 12 (doze) meses consecutivos sem o pedido de prorrogação ou parecer técnico da equipe da Secretaria Municipal de Ação e Desenvolvimento Social;</w:t>
      </w:r>
    </w:p>
    <w:p w14:paraId="75967EB1">
      <w:pPr>
        <w:tabs>
          <w:tab w:val="left" w:pos="1701"/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IV – Decisão Administrativa fundamentada, assegurados o contraditório e a ampla defesa e a oitiva do Conselho Municipal de Assistência Social (CMAS).</w:t>
      </w:r>
    </w:p>
    <w:p w14:paraId="4B14CDAB">
      <w:pPr>
        <w:pBdr>
          <w:top w:val="nil"/>
          <w:left w:val="nil"/>
          <w:bottom w:val="nil"/>
          <w:right w:val="nil"/>
          <w:between w:val="nil"/>
        </w:pBdr>
        <w:tabs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ar-SA"/>
        </w:rPr>
        <w:t xml:space="preserve">Art. 9º </w:t>
      </w:r>
      <w:r>
        <w:rPr>
          <w:rFonts w:ascii="Arial" w:eastAsia="Arial" w:hAnsi="Arial" w:cs="Arial"/>
          <w:sz w:val="24"/>
          <w:szCs w:val="24"/>
        </w:rPr>
        <w:t>Ficam alterados o caput e o §1º do art. 1º da Lei nº 3.833, de 17 de julho de 2006, com as seguintes redações:</w:t>
      </w:r>
    </w:p>
    <w:p w14:paraId="774E934E">
      <w:pPr>
        <w:pBdr>
          <w:top w:val="nil"/>
          <w:left w:val="nil"/>
          <w:bottom w:val="nil"/>
          <w:right w:val="nil"/>
          <w:between w:val="nil"/>
        </w:pBdr>
        <w:tabs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>I – Art. 1º. Fica o Chefe do Executivo autorizado a conceder vale alimentação no valor de R$ 882,23 (oitocentos e oitenta e dois reais e vinte e três centavos) aos funcionários e servidores públicos municipais ativos.</w:t>
      </w:r>
    </w:p>
    <w:p w14:paraId="34FB4C67">
      <w:pPr>
        <w:pBdr>
          <w:top w:val="nil"/>
          <w:left w:val="nil"/>
          <w:bottom w:val="nil"/>
          <w:right w:val="nil"/>
          <w:between w:val="nil"/>
        </w:pBdr>
        <w:tabs>
          <w:tab w:val="left" w:pos="1950"/>
        </w:tabs>
        <w:spacing w:line="360" w:lineRule="auto"/>
        <w:ind w:firstLine="1701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>II – §1º Além do vale-alimentação descrito no "caput", fica também o Poder Executivo autorizado a adquirir e conceder a todos os servidores públicos municipais, ativos inclusive os comissionados, alimentos alusivos às festividades da Páscoa, até o valor de</w:t>
      </w:r>
      <w:r>
        <w:rPr>
          <w:rFonts w:ascii="Arial" w:eastAsia="Arial" w:hAnsi="Arial" w:cs="Arial"/>
          <w:sz w:val="24"/>
          <w:szCs w:val="24"/>
        </w:rPr>
        <w:t xml:space="preserve"> R$ 55,14 (cinquenta e cinco reais e quatorze centavos), do Dia do Funcionário Público Municipal, até o valor de R$ 55,14 (cinquenta e cinco reais e quatorze centavos), e do Natal, até o valor de R$ 110,27 (cento e dez reais e vinte e sete centavos), por s</w:t>
      </w:r>
      <w:r>
        <w:rPr>
          <w:rFonts w:ascii="Arial" w:eastAsia="Arial" w:hAnsi="Arial" w:cs="Arial"/>
          <w:sz w:val="24"/>
          <w:szCs w:val="24"/>
        </w:rPr>
        <w:t>ervidor.</w:t>
      </w:r>
      <w:r>
        <w:rPr>
          <w:rFonts w:ascii="Arial" w:eastAsia="Arial" w:hAnsi="Arial" w:cs="Arial"/>
          <w:b/>
          <w:bCs/>
          <w:sz w:val="24"/>
          <w:szCs w:val="24"/>
        </w:rPr>
        <w:t>(NR)</w:t>
      </w:r>
    </w:p>
    <w:p w14:paraId="18CA2F9D">
      <w:pPr>
        <w:tabs>
          <w:tab w:val="left" w:pos="1701"/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whit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  <w:lang w:eastAsia="ar-SA"/>
        </w:rPr>
        <w:t xml:space="preserve">Art. 10 </w:t>
      </w:r>
      <w:r>
        <w:rPr>
          <w:rFonts w:ascii="Arial" w:eastAsia="Arial" w:hAnsi="Arial" w:cs="Arial"/>
          <w:sz w:val="24"/>
          <w:szCs w:val="24"/>
        </w:rPr>
        <w:t>Ficam expressamente revogados o §1º, seus incisos e o §2º, todos do artigo 33 da Lei Complementar nº 259, de 24 de março de 2000.</w:t>
      </w:r>
    </w:p>
    <w:p w14:paraId="159788DF">
      <w:pPr>
        <w:tabs>
          <w:tab w:val="left" w:pos="1701"/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whit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  <w:lang w:eastAsia="ar-SA"/>
        </w:rPr>
        <w:t xml:space="preserve">Art. 11 </w:t>
      </w:r>
      <w:r>
        <w:rPr>
          <w:rFonts w:ascii="Arial" w:eastAsia="Arial" w:hAnsi="Arial" w:cs="Arial"/>
          <w:sz w:val="24"/>
          <w:szCs w:val="24"/>
        </w:rPr>
        <w:t>As despesas decorrentes com a execução da presente Lei Complementar correrão por conta de dotações orçamentárias próprias, consignadas no orçamento vigente, suplementadas se necessário.</w:t>
      </w:r>
    </w:p>
    <w:p w14:paraId="06DDB017">
      <w:pPr>
        <w:tabs>
          <w:tab w:val="left" w:pos="1701"/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 xml:space="preserve">Art. 12 </w:t>
      </w:r>
      <w:r>
        <w:rPr>
          <w:rFonts w:ascii="Arial" w:eastAsia="Arial" w:hAnsi="Arial" w:cs="Arial"/>
          <w:sz w:val="24"/>
          <w:szCs w:val="24"/>
        </w:rPr>
        <w:t>O Poder Executivo regulamentará esta Lei Complementar no prazo de até 30 (trinta) dias, a contar da data de sua publicação.</w:t>
      </w:r>
    </w:p>
    <w:p w14:paraId="4F0F3A2D">
      <w:pPr>
        <w:pBdr>
          <w:top w:val="nil"/>
          <w:left w:val="nil"/>
          <w:bottom w:val="nil"/>
          <w:right w:val="nil"/>
          <w:between w:val="nil"/>
        </w:pBdr>
        <w:tabs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ar-SA"/>
        </w:rPr>
        <w:t xml:space="preserve">Art. 13 </w:t>
      </w:r>
      <w:r>
        <w:rPr>
          <w:rFonts w:ascii="Arial" w:eastAsia="Arial" w:hAnsi="Arial" w:cs="Arial"/>
          <w:sz w:val="24"/>
          <w:szCs w:val="24"/>
        </w:rPr>
        <w:t>Esta Lei Complementar entra em vigor na data de sua publicação, revogadas as disposições em contrário.</w:t>
      </w:r>
    </w:p>
    <w:p w14:paraId="31BC7092">
      <w:pPr>
        <w:pBdr>
          <w:top w:val="nil"/>
          <w:left w:val="nil"/>
          <w:bottom w:val="nil"/>
          <w:right w:val="nil"/>
          <w:between w:val="nil"/>
        </w:pBdr>
        <w:tabs>
          <w:tab w:val="left" w:pos="1950"/>
        </w:tabs>
        <w:spacing w:line="360" w:lineRule="auto"/>
        <w:ind w:firstLine="1701"/>
        <w:jc w:val="both"/>
        <w:rPr>
          <w:rFonts w:ascii="Arial" w:eastAsia="Arial" w:hAnsi="Arial" w:cs="Arial"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none"/>
        </w:rPr>
        <w:t>Bragança Paulista,</w:t>
      </w:r>
    </w:p>
    <w:p w14:paraId="2BF3D74E">
      <w:pPr>
        <w:pBdr>
          <w:top w:val="nil"/>
          <w:left w:val="nil"/>
          <w:bottom w:val="nil"/>
          <w:right w:val="nil"/>
          <w:between w:val="nil"/>
        </w:pBdr>
        <w:tabs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</w:p>
    <w:p w14:paraId="690D1F2C">
      <w:pPr>
        <w:pBdr>
          <w:top w:val="nil"/>
          <w:left w:val="nil"/>
          <w:bottom w:val="nil"/>
          <w:right w:val="nil"/>
          <w:between w:val="nil"/>
        </w:pBdr>
        <w:tabs>
          <w:tab w:val="left" w:pos="1950"/>
        </w:tabs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highlight w:val="none"/>
        </w:rPr>
      </w:pPr>
    </w:p>
    <w:p w14:paraId="606EB652">
      <w:pPr>
        <w:pBdr>
          <w:top w:val="nil"/>
          <w:left w:val="nil"/>
          <w:bottom w:val="nil"/>
          <w:right w:val="nil"/>
          <w:between w:val="nil"/>
        </w:pBdr>
        <w:tabs>
          <w:tab w:val="left" w:pos="1950"/>
        </w:tabs>
        <w:spacing w:line="360" w:lineRule="auto"/>
        <w:ind w:left="0" w:right="0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>EDMIR CHEDID</w:t>
      </w:r>
    </w:p>
    <w:p w14:paraId="1F1C1EB6">
      <w:pPr>
        <w:pBdr>
          <w:top w:val="nil"/>
          <w:left w:val="nil"/>
          <w:bottom w:val="nil"/>
          <w:right w:val="nil"/>
          <w:between w:val="nil"/>
        </w:pBdr>
        <w:tabs>
          <w:tab w:val="left" w:pos="1950"/>
        </w:tabs>
        <w:spacing w:line="360" w:lineRule="auto"/>
        <w:ind w:left="0" w:right="0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>Prefeito Municipal</w:t>
      </w:r>
    </w:p>
    <w:sectPr>
      <w:headerReference w:type="default" r:id="rId4"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50401020108070707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71F6C7">
    <w:pPr>
      <w:ind w:right="15"/>
      <w:jc w:val="center"/>
      <w:rPr>
        <w:b/>
        <w:sz w:val="32"/>
        <w:szCs w:val="32"/>
      </w:rPr>
    </w:pPr>
    <w:r>
      <w:drawing>
        <wp:anchor distT="0" distB="0" distL="114935" distR="114935" simplePos="0" relativeHeight="251658240" behindDoc="1" locked="0" layoutInCell="1" allowOverlap="1">
          <wp:simplePos x="0" y="0"/>
          <wp:positionH relativeFrom="page">
            <wp:posOffset>509905</wp:posOffset>
          </wp:positionH>
          <wp:positionV relativeFrom="page">
            <wp:posOffset>196215</wp:posOffset>
          </wp:positionV>
          <wp:extent cx="755015" cy="86868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687078" name="Picture 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4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Prefeitura do Município de Bragança Paulista        </w:t>
    </w:r>
  </w:p>
  <w:p w14:paraId="5B28FF9E">
    <w:pPr>
      <w:pStyle w:val="Header"/>
      <w:ind w:right="15"/>
      <w:jc w:val="center"/>
    </w:pPr>
    <w:r>
      <w:rPr>
        <w:b/>
        <w:bCs/>
        <w:sz w:val="32"/>
        <w:szCs w:val="32"/>
      </w:rPr>
      <w:t>Gabinete do Prefeito</w:t>
    </w:r>
  </w:p>
  <w:p w14:paraId="063C1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B336E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69A3D8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A5A5A5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EEBF6" w:themeColor="accent1" w:themeTint="34" w:themeFill="accent1" w:themeFillTint="34"/>
    </w:tblPr>
    <w:tblStylePr w:type="band1Horz">
      <w:tblPr/>
      <w:tcPr>
        <w:shd w:val="clear" w:color="FFFFFF" w:fill="B4D1EC" w:themeColor="accent1" w:themeTint="75" w:themeFill="accent1" w:themeFillTint="75"/>
      </w:tcPr>
    </w:tblStylePr>
    <w:tblStylePr w:type="band1Vert">
      <w:tblPr/>
      <w:tcPr>
        <w:shd w:val="clear" w:color="FFFFFF" w:fill="B4D1EC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5B9BD5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BE6D7" w:themeColor="accent2" w:themeTint="32" w:themeFill="accent2" w:themeFillTint="32"/>
    </w:tblPr>
    <w:tblStylePr w:type="band1Horz">
      <w:tblPr/>
      <w:tcPr>
        <w:shd w:val="clear" w:color="FFFFFF" w:fill="F7C3A0" w:themeColor="accent2" w:themeTint="75" w:themeFill="accent2" w:themeFillTint="75"/>
      </w:tcPr>
    </w:tblStylePr>
    <w:tblStylePr w:type="band1Vert">
      <w:tblPr/>
      <w:tcPr>
        <w:shd w:val="clear" w:color="FFFFFF" w:fill="F7C3A0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ED7D31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DEDED" w:themeColor="accent3" w:themeTint="34" w:themeFill="accent3" w:themeFillTint="34"/>
    </w:tblPr>
    <w:tblStylePr w:type="band1Horz">
      <w:tblPr/>
      <w:tcPr>
        <w:shd w:val="clear" w:color="FFFFFF" w:fill="D6D6D6" w:themeColor="accent3" w:themeTint="75" w:themeFill="accent3" w:themeFillTint="75"/>
      </w:tcPr>
    </w:tblStylePr>
    <w:tblStylePr w:type="band1Vert">
      <w:tblPr/>
      <w:tcPr>
        <w:shd w:val="clear" w:color="FFFFFF" w:fill="D6D6D6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5A5A5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FF2CB" w:themeColor="accent4" w:themeTint="34" w:themeFill="accent4" w:themeFillTint="34"/>
    </w:tblPr>
    <w:tblStylePr w:type="band1Horz">
      <w:tblPr/>
      <w:tcPr>
        <w:shd w:val="clear" w:color="FFFFFF" w:fill="FFE28A" w:themeColor="accent4" w:themeTint="75" w:themeFill="accent4" w:themeFillTint="75"/>
      </w:tcPr>
    </w:tblStylePr>
    <w:tblStylePr w:type="band1Vert">
      <w:tblPr/>
      <w:tcPr>
        <w:shd w:val="clear" w:color="FFFFFF" w:fill="FFE28A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FC000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9E2F3" w:themeColor="accent5" w:themeTint="34" w:themeFill="accent5" w:themeFillTint="34"/>
    </w:tblPr>
    <w:tblStylePr w:type="band1Horz">
      <w:tblPr/>
      <w:tcPr>
        <w:shd w:val="clear" w:color="FFFFFF" w:fill="A9BEE4" w:themeColor="accent5" w:themeTint="75" w:themeFill="accent5" w:themeFillTint="75"/>
      </w:tcPr>
    </w:tblStylePr>
    <w:tblStylePr w:type="band1Vert">
      <w:tblPr/>
      <w:tcPr>
        <w:shd w:val="clear" w:color="FFFFFF" w:fill="A9BEE4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2EFD9" w:themeColor="accent6" w:themeTint="34" w:themeFill="accent6" w:themeFillTint="34"/>
    </w:tblPr>
    <w:tblStylePr w:type="band1Horz">
      <w:tblPr/>
      <w:tcPr>
        <w:shd w:val="clear" w:color="FFFFFF" w:fill="BDDBA8" w:themeColor="accent6" w:themeTint="75" w:themeFill="accent6" w:themeFillTint="75"/>
      </w:tcPr>
    </w:tblStylePr>
    <w:tblStylePr w:type="band1Vert">
      <w:tblPr/>
      <w:tcPr>
        <w:shd w:val="clear" w:color="FFFFFF" w:fill="BDDBA8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07ABD" w:themeColor="accent1" w:themeShade="95" w:themeTint="80"/>
      </w:rPr>
    </w:tblStylePr>
    <w:tblStylePr w:type="firstRow">
      <w:rPr>
        <w:b/>
        <w:color w:val="307ABD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07ABD" w:themeColor="accent1" w:themeShade="95" w:themeTint="80"/>
      </w:rPr>
    </w:tblStylePr>
    <w:tblStylePr w:type="lastRow">
      <w:rPr>
        <w:b/>
        <w:color w:val="307ABD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B5D12" w:themeColor="accent2" w:themeShade="95" w:themeTint="97"/>
      </w:rPr>
    </w:tblStylePr>
    <w:tblStylePr w:type="firstRow">
      <w:rPr>
        <w:b/>
        <w:color w:val="CB5D12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CB5D12" w:themeColor="accent2" w:themeShade="95" w:themeTint="97"/>
      </w:rPr>
    </w:tblStylePr>
    <w:tblStylePr w:type="lastRow">
      <w:rPr>
        <w:b/>
        <w:color w:val="CB5D12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616161" w:themeColor="accent3" w:themeShade="95" w:themeTint="FE"/>
      </w:rPr>
    </w:tblStylePr>
    <w:tblStylePr w:type="firstRow">
      <w:rPr>
        <w:b/>
        <w:color w:val="616161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616161" w:themeColor="accent3" w:themeShade="95" w:themeTint="FE"/>
      </w:rPr>
    </w:tblStylePr>
    <w:tblStylePr w:type="lastRow">
      <w:rPr>
        <w:b/>
        <w:color w:val="616161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07ABD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307ABD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CB5D12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CB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CB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616161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616161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16161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616161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16161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16161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542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16529" w:themeColor="accent6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AADB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18F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5B9BD5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5B9BD5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5B9BD5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F4B285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9C9C9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FFD965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8EAADB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A9D18F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B5D12" w:themeColor="accent2" w:themeShade="95" w:themeTint="97"/>
      </w:rPr>
    </w:tblStylePr>
    <w:tblStylePr w:type="firstRow">
      <w:rPr>
        <w:b/>
        <w:color w:val="CB5D12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CB5D12" w:themeColor="accent2" w:themeShade="95" w:themeTint="97"/>
      </w:rPr>
    </w:tblStylePr>
    <w:tblStylePr w:type="lastRow">
      <w:rPr>
        <w:b/>
        <w:color w:val="CB5D12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67676" w:themeColor="accent3" w:themeShade="95" w:themeTint="98"/>
      </w:rPr>
    </w:tblStylePr>
    <w:tblStylePr w:type="firstRow">
      <w:rPr>
        <w:b/>
        <w:color w:val="767676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67676" w:themeColor="accent3" w:themeShade="95" w:themeTint="98"/>
      </w:rPr>
    </w:tblStylePr>
    <w:tblStylePr w:type="lastRow">
      <w:rPr>
        <w:b/>
        <w:color w:val="767676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5AA1" w:themeColor="accent5" w:themeShade="95" w:themeTint="9A"/>
      </w:rPr>
    </w:tblStylePr>
    <w:tblStylePr w:type="firstRow">
      <w:rPr>
        <w:b/>
        <w:color w:val="335AA1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5AA1" w:themeColor="accent5" w:themeShade="95" w:themeTint="9A"/>
      </w:rPr>
    </w:tblStylePr>
    <w:tblStylePr w:type="lastRow">
      <w:rPr>
        <w:b/>
        <w:color w:val="335AA1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5E923C" w:themeColor="accent6" w:themeShade="95" w:themeTint="98"/>
      </w:rPr>
    </w:tblStylePr>
    <w:tblStylePr w:type="firstRow">
      <w:rPr>
        <w:b/>
        <w:color w:val="5E923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5E923C" w:themeColor="accent6" w:themeShade="95" w:themeTint="98"/>
      </w:rPr>
    </w:tblStylePr>
    <w:tblStylePr w:type="lastRow">
      <w:rPr>
        <w:b/>
        <w:color w:val="5E923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5B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CB5D12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CB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CB5D12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67676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767676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67676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09D00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5AA1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335AA1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5AA1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5E923C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5E923C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5E923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5B5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5B5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5B5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5B5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5B5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5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5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5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5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5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5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E75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5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5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customStyle="1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andard">
    <w:name w:val="Standard"/>
    <w:pPr>
      <w:keepNext w:val="0"/>
      <w:keepLines w:val="0"/>
      <w:pageBreakBefore w:val="0"/>
      <w:widowControl w:val="0"/>
      <w:suppressLineNumbers w:val="0"/>
      <w:pBdr>
        <w:top w:val="nil"/>
        <w:left w:val="nil"/>
        <w:bottom w:val="nil"/>
        <w:right w:val="nil"/>
        <w:between w:val="nil"/>
      </w:pBdr>
      <w:shd w:val="nil" w:color="auto" w:fill="auto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eastAsia="Andale Sans UI" w:hAnsi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table" w:customStyle="1" w:styleId="StGen4">
    <w:name w:val="StGen4"/>
    <w:pPr>
      <w:keepNext w:val="0"/>
      <w:keepLines w:val="0"/>
      <w:pageBreakBefore w:val="0"/>
      <w:widowControl/>
      <w:suppressLineNumbers w:val="0"/>
      <w:pBdr>
        <w:top w:val="nil"/>
        <w:left w:val="nil"/>
        <w:bottom w:val="nil"/>
        <w:right w:val="nil"/>
        <w:between w:val="nil"/>
      </w:pBdr>
      <w:shd w:val="nil" w:color="auto" w:fill="auto"/>
      <w:bidi w:val="0"/>
      <w:spacing w:before="0" w:beforeAutospacing="0" w:after="0" w:afterAutospacing="0" w:line="240" w:lineRule="auto"/>
      <w:ind w:left="0" w:right="0" w:hanging="1"/>
      <w:contextualSpacing w:val="0"/>
      <w:jc w:val="left"/>
    </w:pPr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71" w:type="dxa"/>
        <w:bottom w:w="0" w:type="dxa"/>
        <w:right w:w="71" w:type="dxa"/>
      </w:tblCellMar>
    </w:tblPr>
    <w:trPr>
      <w:cantSplit w:val="0"/>
      <w:jc w:val="left"/>
    </w:trPr>
    <w:tcPr>
      <w:tcW w:w="0" w:type="auto"/>
      <w:hMerge w:val="restart"/>
      <w:vMerge w:val="restart"/>
      <w:vAlign w:val="top"/>
    </w:tc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StGen7">
    <w:name w:val="StGen7"/>
    <w:pPr>
      <w:keepNext w:val="0"/>
      <w:keepLines w:val="0"/>
      <w:pageBreakBefore w:val="0"/>
      <w:widowControl/>
      <w:suppressLineNumbers w:val="0"/>
      <w:pBdr>
        <w:top w:val="nil"/>
        <w:left w:val="nil"/>
        <w:bottom w:val="nil"/>
        <w:right w:val="nil"/>
        <w:between w:val="nil"/>
      </w:pBdr>
      <w:shd w:val="nil" w:color="auto" w:fill="auto"/>
      <w:bidi w:val="0"/>
      <w:spacing w:before="0" w:beforeAutospacing="0" w:after="0" w:afterAutospacing="0" w:line="240" w:lineRule="auto"/>
      <w:ind w:left="0" w:right="0" w:hanging="1"/>
      <w:contextualSpacing w:val="0"/>
      <w:jc w:val="left"/>
    </w:pPr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100" w:type="dxa"/>
        <w:left w:w="100" w:type="dxa"/>
        <w:bottom w:w="100" w:type="dxa"/>
        <w:right w:w="100" w:type="dxa"/>
      </w:tblCellMar>
    </w:tblPr>
    <w:trPr>
      <w:cantSplit w:val="0"/>
      <w:jc w:val="left"/>
    </w:trPr>
    <w:tcPr>
      <w:tcW w:w="0" w:type="auto"/>
      <w:hMerge w:val="restart"/>
      <w:vMerge w:val="restart"/>
      <w:vAlign w:val="top"/>
    </w:tc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modified xsi:type="dcterms:W3CDTF">2026-03-23T19:01:02Z</dcterms:modified>
</cp:coreProperties>
</file>