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48C2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CBB1D01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50C58" w14:paraId="6E76319E" w14:textId="77777777">
        <w:tc>
          <w:tcPr>
            <w:tcW w:w="9284" w:type="dxa"/>
          </w:tcPr>
          <w:p w14:paraId="3154AA1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1087D69" wp14:editId="3DBFDC24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180E48F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711007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624AE669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850C58" w14:paraId="2B1B30BE" w14:textId="77777777">
        <w:tc>
          <w:tcPr>
            <w:tcW w:w="9284" w:type="dxa"/>
          </w:tcPr>
          <w:p w14:paraId="475A74A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43B21D5" w14:textId="0F3EBD9A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22729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6/2026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22729" w:rsidRPr="001B3A01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E22729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utoriza o Poder Executivo Municipal a contratar operação de crédito junto ao Banco Nacional de Desenvolvimento (BNDES), e dá outras providências</w:t>
            </w:r>
            <w:r w:rsidR="00E22729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End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inicialmente protocolado como Projeto de Lei nº 06/2026)</w:t>
            </w:r>
          </w:p>
          <w:p w14:paraId="1B8DD46E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4D29A604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1D2BBBF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1C79757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7A9D13D9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770F6B0F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46D375C" wp14:editId="6CF18109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B8C2C" w14:textId="0E0FAA94" w:rsidR="00AF1B46" w:rsidRDefault="00E227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D37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18DB8C2C" w14:textId="0E0FAA94" w:rsidR="00AF1B46" w:rsidRDefault="00E22729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258B08C6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1DC642D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F03474" wp14:editId="2518F51F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C152" w14:textId="0A0FB4DA" w:rsidR="00AF1B46" w:rsidRDefault="00E227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3474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5DE2C152" w14:textId="0A0FB4DA" w:rsidR="00AF1B46" w:rsidRDefault="00E2272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5EFC00CA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4B73B8C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4742E7F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807BD4" wp14:editId="611B5E7D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F0EC" w14:textId="1799D4CE" w:rsidR="00AF1B46" w:rsidRDefault="00E22729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07BD4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FE1F0EC" w14:textId="1799D4CE" w:rsidR="00AF1B46" w:rsidRDefault="00E22729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7828804C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7439ED5C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D53DC07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52CF141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830161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7CB60A5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704764F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DF86AE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E2B368E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AD8B67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6DB99CB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31A7AF94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09078867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4442" w14:textId="77777777" w:rsidR="00D96FF0" w:rsidRDefault="00D96FF0">
      <w:r>
        <w:separator/>
      </w:r>
    </w:p>
  </w:endnote>
  <w:endnote w:type="continuationSeparator" w:id="0">
    <w:p w14:paraId="6C984156" w14:textId="77777777" w:rsidR="00D96FF0" w:rsidRDefault="00D9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5140" w14:textId="77777777" w:rsidR="00D96FF0" w:rsidRDefault="00D96FF0">
      <w:r>
        <w:separator/>
      </w:r>
    </w:p>
  </w:footnote>
  <w:footnote w:type="continuationSeparator" w:id="0">
    <w:p w14:paraId="35FCEAF3" w14:textId="77777777" w:rsidR="00D96FF0" w:rsidRDefault="00D9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E317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365B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27451C87" wp14:editId="21641DE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167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02991642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0E84200A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97CA9F5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D3A12A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5ACAA4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C7C94D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C80B59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0F4B31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55E01B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B24C8A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D3EECF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5445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0E7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02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C2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45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4A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CC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506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BE02078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5C6763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3D6477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D00048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32E0DC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AFAFC1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BCCA9D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A2C643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F5A12C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2E96766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1BC8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A9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AE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C2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363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C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87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4A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9E1E7D9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460C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A04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6E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AF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9A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7EF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E24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48A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05968CB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E2465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1A0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02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22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F4B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40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7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E8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86D4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E8B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FA4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EE6C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88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A0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2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40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783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4D0C5AE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2526252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7D6C089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B38DB6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D6AB3C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32AEB3C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5A0310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73A8AE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4478396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E4F63AF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39CDD5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5BC68D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5307C0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372BF3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80ADBB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C805F8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20ABC3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BCDCE6F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380371586">
    <w:abstractNumId w:val="8"/>
  </w:num>
  <w:num w:numId="2" w16cid:durableId="709765498">
    <w:abstractNumId w:val="3"/>
  </w:num>
  <w:num w:numId="3" w16cid:durableId="494078372">
    <w:abstractNumId w:val="5"/>
  </w:num>
  <w:num w:numId="4" w16cid:durableId="405347911">
    <w:abstractNumId w:val="6"/>
  </w:num>
  <w:num w:numId="5" w16cid:durableId="1081171760">
    <w:abstractNumId w:val="0"/>
  </w:num>
  <w:num w:numId="6" w16cid:durableId="2108452916">
    <w:abstractNumId w:val="1"/>
  </w:num>
  <w:num w:numId="7" w16cid:durableId="1581867341">
    <w:abstractNumId w:val="9"/>
  </w:num>
  <w:num w:numId="8" w16cid:durableId="460267408">
    <w:abstractNumId w:val="2"/>
  </w:num>
  <w:num w:numId="9" w16cid:durableId="659046677">
    <w:abstractNumId w:val="7"/>
  </w:num>
  <w:num w:numId="10" w16cid:durableId="141350130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97043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0C58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6FF0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2729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011AC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2026-02-19T20:01:00Z</dcterms:modified>
</cp:coreProperties>
</file>