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F019" w14:textId="77777777" w:rsidR="00973102" w:rsidRDefault="00973102">
      <w:pPr>
        <w:jc w:val="both"/>
        <w:rPr>
          <w:rFonts w:ascii="Arial" w:hAnsi="Arial"/>
        </w:rPr>
      </w:pPr>
    </w:p>
    <w:p w14:paraId="0D7CA08A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5137B">
        <w:rPr>
          <w:sz w:val="24"/>
        </w:rPr>
        <w:t>COMISSÃO DE JUSTIÇA, REDAÇÃO, DEFESA DO MEIO AMBIENTE E DO CONSUMIDOR</w:t>
      </w:r>
    </w:p>
    <w:p w14:paraId="01277D1E" w14:textId="77777777" w:rsidR="00973102" w:rsidRDefault="00973102">
      <w:pPr>
        <w:jc w:val="both"/>
        <w:rPr>
          <w:rFonts w:ascii="Arial" w:hAnsi="Arial"/>
        </w:rPr>
      </w:pPr>
    </w:p>
    <w:p w14:paraId="62F7971A" w14:textId="0E618E56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CB0CFA">
        <w:rPr>
          <w:szCs w:val="28"/>
        </w:rPr>
        <w:t>À MOÇÃO Nº 280/2025</w:t>
      </w:r>
    </w:p>
    <w:p w14:paraId="4F6CAAEB" w14:textId="593436A8" w:rsidR="00973102" w:rsidRPr="004B0C7A" w:rsidRDefault="00000000">
      <w:pPr>
        <w:pStyle w:val="Ttulo1"/>
        <w:rPr>
          <w:szCs w:val="28"/>
        </w:rPr>
      </w:pPr>
      <w:r>
        <w:rPr>
          <w:szCs w:val="28"/>
        </w:rPr>
        <w:t>RELATOR:</w:t>
      </w:r>
      <w:r w:rsidR="004B7E35">
        <w:t xml:space="preserve"> </w:t>
      </w:r>
      <w:r w:rsidR="001A5873">
        <w:rPr>
          <w:szCs w:val="28"/>
        </w:rPr>
        <w:t>SIDINEY GUEDES</w:t>
      </w:r>
    </w:p>
    <w:p w14:paraId="16E5E2F3" w14:textId="77777777" w:rsidR="004B0C7A" w:rsidRDefault="004B0C7A">
      <w:pPr>
        <w:widowControl w:val="0"/>
        <w:jc w:val="both"/>
        <w:rPr>
          <w:rFonts w:ascii="Arial" w:hAnsi="Arial"/>
          <w:b/>
          <w:sz w:val="24"/>
        </w:rPr>
      </w:pPr>
    </w:p>
    <w:p w14:paraId="0C403522" w14:textId="65D8FE52" w:rsidR="00D81B85" w:rsidRPr="00D81B85" w:rsidRDefault="00000000" w:rsidP="00D81B85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CB0CFA" w:rsidRPr="00D10C56">
        <w:rPr>
          <w:rFonts w:ascii="Arial" w:hAnsi="Arial"/>
          <w:bCs/>
          <w:sz w:val="24"/>
        </w:rPr>
        <w:t>moção de autoria da vereadora Camila Marino da Saúde, q</w:t>
      </w:r>
      <w:r w:rsidR="00A40B8B" w:rsidRPr="00AD794A">
        <w:rPr>
          <w:rFonts w:ascii="Arial" w:hAnsi="Arial"/>
          <w:sz w:val="24"/>
        </w:rPr>
        <w:t xml:space="preserve">ue </w:t>
      </w:r>
      <w:r w:rsidR="00CB0CFA">
        <w:rPr>
          <w:rFonts w:ascii="Arial" w:hAnsi="Arial"/>
          <w:sz w:val="24"/>
        </w:rPr>
        <w:t xml:space="preserve">requer, </w:t>
      </w:r>
      <w:r w:rsidRPr="00AD794A">
        <w:rPr>
          <w:rFonts w:ascii="Arial" w:hAnsi="Arial"/>
          <w:sz w:val="24"/>
        </w:rPr>
        <w:t xml:space="preserve">por meio de </w:t>
      </w:r>
      <w:r w:rsidR="00CB0CFA">
        <w:rPr>
          <w:rFonts w:ascii="Arial" w:hAnsi="Arial"/>
          <w:sz w:val="24"/>
        </w:rPr>
        <w:t>apelo d</w:t>
      </w:r>
      <w:r w:rsidRPr="00AD794A">
        <w:rPr>
          <w:rFonts w:ascii="Arial" w:hAnsi="Arial"/>
          <w:sz w:val="24"/>
        </w:rPr>
        <w:t>este Legislativo ao Chefe do Poder Executivo, estudos visando à instituição das "Olimpíadas da Diversidade - LGBTQIAPN+" no município de Bragança Paulista, a serem celebradas anualmente no mês de novembro.</w:t>
      </w:r>
    </w:p>
    <w:p w14:paraId="27C8563D" w14:textId="77777777" w:rsidR="00BF5D47" w:rsidRDefault="00000000" w:rsidP="00595F1E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391C237D" w14:textId="77777777" w:rsidR="007123C6" w:rsidRPr="007123C6" w:rsidRDefault="00000000" w:rsidP="007123C6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</w:p>
    <w:p w14:paraId="1141908F" w14:textId="77777777" w:rsidR="004002F0" w:rsidRDefault="004002F0" w:rsidP="007123C6">
      <w:pPr>
        <w:jc w:val="both"/>
        <w:rPr>
          <w:rFonts w:ascii="Arial" w:hAnsi="Arial"/>
          <w:sz w:val="24"/>
        </w:rPr>
      </w:pPr>
    </w:p>
    <w:p w14:paraId="078A345A" w14:textId="0B387DDF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A Moção nº 280/2025, de autoria da vereadora Camila Marino, tem por objeto solicitar ao Chefe do Poder Executivo Municipal a realização de estudos técnicos e jurídicos destinados à viabilidade de instituição das “Olimpíadas da Diversidade LGBTQIAPN+” no município de Bragança Paulista.</w:t>
      </w:r>
    </w:p>
    <w:p w14:paraId="5C070E2D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15B7B801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O pleito sugere a criação de um evento esportivo e cultural que promova a inclusão, valorização e visibilidade das pessoas que se reconhecem nas diversas identidades e orientações de gênero, integrando a comunidade LGBTQIAPN+ no contexto esportivo municipal e fortalecendo políticas públicas de diversidade.</w:t>
      </w:r>
    </w:p>
    <w:p w14:paraId="441AC82B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527DF03D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II – ANÁLISE JURÍDICA</w:t>
      </w:r>
    </w:p>
    <w:p w14:paraId="44762D1A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1. Competência Legislativa Municipal</w:t>
      </w:r>
    </w:p>
    <w:p w14:paraId="04AD093A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A Constituição Federal, no art. 30, confere aos municípios a competência para legislar sobre assuntos de interesse local e suplementar a legislação federal e estadual no que couber. Eventos culturais e esportivos de caráter socioeducativo e de promoção da cidadania podem ser objeto de políticas públicas municipais.</w:t>
      </w:r>
    </w:p>
    <w:p w14:paraId="7D47B42F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42D85F2B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A moção, ao solicitar estudos para viabilidade do evento, não cria obrigação normativa imediata nem despesas automáticas, limitando-se a recomendar a análise pelo Executivo, o que está dentro das prerrogativas do Poder Legislativo.</w:t>
      </w:r>
    </w:p>
    <w:p w14:paraId="01C7C446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67C16820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2. Natureza da Moção Parlamentar</w:t>
      </w:r>
    </w:p>
    <w:p w14:paraId="01C48466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 xml:space="preserve">Moções são instrumentos de manifestação política e recomendatória, utilizados para expressar posicionamentos, convicções ou solicitar providências ao Poder Executivo, órgãos públicos ou entidades da sociedade. Não possuem força normativa para </w:t>
      </w:r>
      <w:proofErr w:type="gramStart"/>
      <w:r w:rsidRPr="007123C6">
        <w:rPr>
          <w:rFonts w:ascii="Arial" w:hAnsi="Arial"/>
          <w:sz w:val="24"/>
        </w:rPr>
        <w:t>criar novos</w:t>
      </w:r>
      <w:proofErr w:type="gramEnd"/>
      <w:r w:rsidRPr="007123C6">
        <w:rPr>
          <w:rFonts w:ascii="Arial" w:hAnsi="Arial"/>
          <w:sz w:val="24"/>
        </w:rPr>
        <w:t xml:space="preserve"> órgãos, gastos ou políticas por si só, devendo ser encaminhadas ao destinatário competente para estudo e implementação.</w:t>
      </w:r>
    </w:p>
    <w:p w14:paraId="6B17EF54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10456527" w14:textId="1B536870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A Moção nº 280/2025, assim, atua como manifestação legítima do Legislativo para que o Executivo avalie a possibilidade do projeto proposto.</w:t>
      </w:r>
    </w:p>
    <w:p w14:paraId="5146487B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7972AE16" w14:textId="77777777" w:rsidR="00C5638F" w:rsidRDefault="00C5638F" w:rsidP="007123C6">
      <w:pPr>
        <w:jc w:val="both"/>
        <w:rPr>
          <w:rFonts w:ascii="Arial" w:hAnsi="Arial"/>
          <w:sz w:val="24"/>
        </w:rPr>
      </w:pPr>
    </w:p>
    <w:p w14:paraId="2F6FF074" w14:textId="77777777" w:rsidR="00C5638F" w:rsidRDefault="00C5638F" w:rsidP="007123C6">
      <w:pPr>
        <w:jc w:val="both"/>
        <w:rPr>
          <w:rFonts w:ascii="Arial" w:hAnsi="Arial"/>
          <w:sz w:val="24"/>
        </w:rPr>
      </w:pPr>
    </w:p>
    <w:p w14:paraId="1057832F" w14:textId="3F8D6BDE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3. Princípios Constitucionais Relevantes</w:t>
      </w:r>
    </w:p>
    <w:p w14:paraId="08505627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Princípio da Igualdade (CF, art. 5º, caput): não discriminação por identidade de gênero e orientação sexual.</w:t>
      </w:r>
    </w:p>
    <w:p w14:paraId="0D05D2DD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337720B5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Princípio da Promoção da Cidadania e da Dignidade da Pessoa Humana: políticas públicas que valorizem grupos historicamente marginalizados contribuem para a inclusão social.</w:t>
      </w:r>
    </w:p>
    <w:p w14:paraId="7C2E90F9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217C9CC4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Autonomia Municipal (CF, art. 30): o município pode promover eventos que atendam ao interesse da comunidade local.</w:t>
      </w:r>
    </w:p>
    <w:p w14:paraId="4496CBDE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6817D41F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A instituição de eventos com foco na diversidade pode estar alinhada a esses princípios, desde que respeitados os princípios da legalidade, impessoalidade, moralidade, publicidade e eficiência previstos no art. 37 da Constituição Federal.</w:t>
      </w:r>
    </w:p>
    <w:p w14:paraId="7531863F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07F808B0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III – VIABILIDADE E RECOMENDAÇÕES TÉCNICAS</w:t>
      </w:r>
    </w:p>
    <w:p w14:paraId="51720DB2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Para fins de estudos, recomenda-se que a equipe técnica do Executivo municipal avalie, no mínimo, os seguintes aspectos:</w:t>
      </w:r>
    </w:p>
    <w:p w14:paraId="1F8443A0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3023226C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a) Viabilidade Jurídica</w:t>
      </w:r>
    </w:p>
    <w:p w14:paraId="4EEC6625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Verificar a compatibilidade da realização do evento com a legislação municipal vigente.</w:t>
      </w:r>
    </w:p>
    <w:p w14:paraId="5E177C45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4607534F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Analisar necessidade de regulamentação específica ou projeto de lei para autorização da despesa.</w:t>
      </w:r>
    </w:p>
    <w:p w14:paraId="2213DB49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6ED05456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b) Orçamentária e Financeira</w:t>
      </w:r>
    </w:p>
    <w:p w14:paraId="494058C2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Levantar custos estimados (infraestrutura, logística, segurança, premiações, equipes organizadoras).</w:t>
      </w:r>
    </w:p>
    <w:p w14:paraId="4499EB82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5FECBCAE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Indicar possíveis fontes de financiamento (recursos próprios, parcerias, patrocínios, apoio da iniciativa privada, emendas parlamentares).</w:t>
      </w:r>
    </w:p>
    <w:p w14:paraId="180F52FA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1EEF0CA6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c) Operacional</w:t>
      </w:r>
    </w:p>
    <w:p w14:paraId="53C50F40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Definir estrutura de organização das Olimpíadas (comitê organizador, regulamentos, modalidades esportivas e culturais).</w:t>
      </w:r>
    </w:p>
    <w:p w14:paraId="49E6E703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3A3932FC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Avaliar calendário, localizações de realização e público-alvo.</w:t>
      </w:r>
    </w:p>
    <w:p w14:paraId="3F65BFAB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22972910" w14:textId="77777777" w:rsidR="00C5638F" w:rsidRDefault="00C5638F" w:rsidP="007123C6">
      <w:pPr>
        <w:jc w:val="both"/>
        <w:rPr>
          <w:rFonts w:ascii="Arial" w:hAnsi="Arial"/>
          <w:sz w:val="24"/>
        </w:rPr>
      </w:pPr>
    </w:p>
    <w:p w14:paraId="0B23762C" w14:textId="77777777" w:rsidR="00C5638F" w:rsidRDefault="00C5638F" w:rsidP="007123C6">
      <w:pPr>
        <w:jc w:val="both"/>
        <w:rPr>
          <w:rFonts w:ascii="Arial" w:hAnsi="Arial"/>
          <w:sz w:val="24"/>
        </w:rPr>
      </w:pPr>
    </w:p>
    <w:p w14:paraId="46189B74" w14:textId="77777777" w:rsidR="00C5638F" w:rsidRDefault="00C5638F" w:rsidP="007123C6">
      <w:pPr>
        <w:jc w:val="both"/>
        <w:rPr>
          <w:rFonts w:ascii="Arial" w:hAnsi="Arial"/>
          <w:sz w:val="24"/>
        </w:rPr>
      </w:pPr>
    </w:p>
    <w:p w14:paraId="4871AAB8" w14:textId="77777777" w:rsidR="00C5638F" w:rsidRDefault="00C5638F" w:rsidP="007123C6">
      <w:pPr>
        <w:jc w:val="both"/>
        <w:rPr>
          <w:rFonts w:ascii="Arial" w:hAnsi="Arial"/>
          <w:sz w:val="24"/>
        </w:rPr>
      </w:pPr>
    </w:p>
    <w:p w14:paraId="1D5661F4" w14:textId="77777777" w:rsidR="00C5638F" w:rsidRDefault="00C5638F" w:rsidP="007123C6">
      <w:pPr>
        <w:jc w:val="both"/>
        <w:rPr>
          <w:rFonts w:ascii="Arial" w:hAnsi="Arial"/>
          <w:sz w:val="24"/>
        </w:rPr>
      </w:pPr>
    </w:p>
    <w:p w14:paraId="3D76DFF5" w14:textId="4BAF40D1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d) Inclusão e Impacto Social</w:t>
      </w:r>
    </w:p>
    <w:p w14:paraId="147A95DE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Elaborar relatório preliminar sobre os impactos sociais esperados, critérios de participação e mecanismos de acessibilidade.</w:t>
      </w:r>
    </w:p>
    <w:p w14:paraId="3DD433A6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4BA12346" w14:textId="10CE4485" w:rsidR="00BC4D08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Estudar formas de integrar organizações da sociedade civil que atuam em defesa dos direitos LGBTQIAPN+</w:t>
      </w:r>
    </w:p>
    <w:p w14:paraId="7FD30859" w14:textId="77777777" w:rsidR="00B4089B" w:rsidRDefault="00B4089B">
      <w:pPr>
        <w:jc w:val="both"/>
        <w:rPr>
          <w:rFonts w:ascii="Arial" w:hAnsi="Arial"/>
          <w:sz w:val="24"/>
        </w:rPr>
      </w:pPr>
    </w:p>
    <w:p w14:paraId="32C78ACD" w14:textId="77777777" w:rsidR="00973102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 w:rsidR="001A5873">
        <w:rPr>
          <w:rFonts w:ascii="Arial" w:hAnsi="Arial"/>
          <w:sz w:val="24"/>
        </w:rPr>
        <w:t>:</w:t>
      </w:r>
    </w:p>
    <w:p w14:paraId="178DDF2A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Diante do exposto, parece favoravelmente à Moção nº 280/2025, por ser um instrumento legítimo de recomendação ao Poder Executivo para a análise de uma proposta que:</w:t>
      </w:r>
    </w:p>
    <w:p w14:paraId="38B7112B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621A8053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Está alinhada aos princípios constitucionais de igualdade e dignidade humana;</w:t>
      </w:r>
    </w:p>
    <w:p w14:paraId="2DB9EAF6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5077AE0B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Está dentro da competência municipal de promover eventos de interesse local;</w:t>
      </w:r>
    </w:p>
    <w:p w14:paraId="1A5CAB33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702076C7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Não cria despesas diretas ao município sem prévia avaliação;</w:t>
      </w:r>
    </w:p>
    <w:p w14:paraId="2879936D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5B197C10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Pode ampliar a promoção da inclusão social e cultural no município de Bragança Paulista.</w:t>
      </w:r>
    </w:p>
    <w:p w14:paraId="7BB945E1" w14:textId="77777777" w:rsidR="007123C6" w:rsidRPr="007123C6" w:rsidRDefault="007123C6" w:rsidP="007123C6">
      <w:pPr>
        <w:jc w:val="both"/>
        <w:rPr>
          <w:rFonts w:ascii="Arial" w:hAnsi="Arial"/>
          <w:sz w:val="24"/>
        </w:rPr>
      </w:pPr>
    </w:p>
    <w:p w14:paraId="7C7DFEB6" w14:textId="0DBAC14D" w:rsidR="007123C6" w:rsidRDefault="007123C6" w:rsidP="007123C6">
      <w:pPr>
        <w:jc w:val="both"/>
        <w:rPr>
          <w:rFonts w:ascii="Arial" w:hAnsi="Arial"/>
          <w:sz w:val="24"/>
        </w:rPr>
      </w:pPr>
      <w:r w:rsidRPr="007123C6">
        <w:rPr>
          <w:rFonts w:ascii="Arial" w:hAnsi="Arial"/>
          <w:sz w:val="24"/>
        </w:rPr>
        <w:t>Destaca-se, porém, que a implementação das Olimpíadas da Diversidade LGBTQIAPN+ dependerá de estudos técnicos que comprovem a viabilidade jurídica, financeira, orçamentária e operacional da iniciativa, bem como de eventual lei específica a ser proposta pelo Executivo ou pelo próprio Legislativo, conforme dispuser a regulamentação municipal.</w:t>
      </w:r>
    </w:p>
    <w:p w14:paraId="2C24ABEC" w14:textId="77777777" w:rsidR="00973102" w:rsidRDefault="00973102">
      <w:pPr>
        <w:jc w:val="both"/>
        <w:rPr>
          <w:rFonts w:ascii="Arial" w:hAnsi="Arial"/>
          <w:sz w:val="24"/>
        </w:rPr>
      </w:pPr>
    </w:p>
    <w:p w14:paraId="15E44139" w14:textId="28180B2A" w:rsidR="00973102" w:rsidRDefault="0000000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</w:t>
      </w:r>
      <w:r w:rsidR="00B4089B">
        <w:rPr>
          <w:rFonts w:ascii="Arial" w:hAnsi="Arial"/>
          <w:sz w:val="24"/>
        </w:rPr>
        <w:t xml:space="preserve"> </w:t>
      </w:r>
      <w:r w:rsidR="00D10C56">
        <w:rPr>
          <w:rFonts w:ascii="Arial" w:hAnsi="Arial"/>
          <w:sz w:val="24"/>
        </w:rPr>
        <w:t>24</w:t>
      </w:r>
      <w:r w:rsidR="001A5873">
        <w:rPr>
          <w:rFonts w:ascii="Arial" w:hAnsi="Arial"/>
          <w:sz w:val="24"/>
        </w:rPr>
        <w:t xml:space="preserve"> de fevereiro de 2026</w:t>
      </w:r>
      <w:r>
        <w:rPr>
          <w:rFonts w:ascii="Arial" w:hAnsi="Arial"/>
          <w:sz w:val="24"/>
        </w:rPr>
        <w:t>.</w:t>
      </w:r>
    </w:p>
    <w:p w14:paraId="70A6DBEE" w14:textId="77777777" w:rsidR="004B0C7A" w:rsidRDefault="004B0C7A">
      <w:pPr>
        <w:jc w:val="right"/>
        <w:rPr>
          <w:rFonts w:ascii="Arial" w:hAnsi="Arial"/>
          <w:sz w:val="24"/>
        </w:rPr>
      </w:pPr>
    </w:p>
    <w:p w14:paraId="4C502A74" w14:textId="77777777" w:rsidR="004B0C7A" w:rsidRDefault="004B0C7A">
      <w:pPr>
        <w:jc w:val="right"/>
        <w:rPr>
          <w:rFonts w:ascii="Arial" w:hAnsi="Arial"/>
          <w:sz w:val="24"/>
        </w:rPr>
      </w:pPr>
    </w:p>
    <w:p w14:paraId="3A797AAF" w14:textId="77777777" w:rsidR="004B0C7A" w:rsidRDefault="004B0C7A">
      <w:pPr>
        <w:jc w:val="right"/>
        <w:rPr>
          <w:rFonts w:ascii="Arial" w:hAnsi="Arial"/>
          <w:sz w:val="24"/>
        </w:rPr>
      </w:pPr>
    </w:p>
    <w:p w14:paraId="61645D8B" w14:textId="2DA7DAAD" w:rsidR="00F646F0" w:rsidRPr="00CB0CFA" w:rsidRDefault="00000000" w:rsidP="00F646F0">
      <w:pPr>
        <w:pStyle w:val="Ttulo3"/>
        <w:jc w:val="right"/>
        <w:rPr>
          <w:bCs/>
          <w:sz w:val="24"/>
        </w:rPr>
      </w:pPr>
      <w:r w:rsidRPr="00CB0CFA">
        <w:rPr>
          <w:bCs/>
          <w:sz w:val="24"/>
        </w:rPr>
        <w:t>SIDINEY GUEDES</w:t>
      </w:r>
    </w:p>
    <w:p w14:paraId="626592C2" w14:textId="1D8F776B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Relator </w:t>
      </w:r>
      <w:r w:rsidR="00CB0CFA">
        <w:rPr>
          <w:rFonts w:ascii="Arial" w:hAnsi="Arial"/>
          <w:sz w:val="24"/>
        </w:rPr>
        <w:t xml:space="preserve">e vice-presidente da </w:t>
      </w:r>
      <w:r w:rsidR="00B5137B">
        <w:rPr>
          <w:rFonts w:ascii="Arial" w:hAnsi="Arial"/>
          <w:sz w:val="24"/>
        </w:rPr>
        <w:t>CJR</w:t>
      </w:r>
    </w:p>
    <w:p w14:paraId="6DBC0094" w14:textId="77777777" w:rsidR="00F646F0" w:rsidRDefault="00F646F0" w:rsidP="00F646F0">
      <w:pPr>
        <w:pStyle w:val="Ttulo3"/>
        <w:jc w:val="right"/>
        <w:rPr>
          <w:b w:val="0"/>
          <w:sz w:val="24"/>
        </w:rPr>
      </w:pPr>
    </w:p>
    <w:p w14:paraId="606F2161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22606A92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7E51ED4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5BDCA945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sectPr w:rsidR="00393D29" w:rsidRPr="00F646F0" w:rsidSect="008C214C">
      <w:headerReference w:type="default" r:id="rId6"/>
      <w:footerReference w:type="default" r:id="rId7"/>
      <w:pgSz w:w="11907" w:h="16839" w:code="9"/>
      <w:pgMar w:top="3119" w:right="992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1284" w14:textId="77777777" w:rsidR="00D23E11" w:rsidRDefault="00D23E11">
      <w:r>
        <w:separator/>
      </w:r>
    </w:p>
  </w:endnote>
  <w:endnote w:type="continuationSeparator" w:id="0">
    <w:p w14:paraId="54D80F3A" w14:textId="77777777" w:rsidR="00D23E11" w:rsidRDefault="00D2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DF88" w14:textId="77777777" w:rsidR="00973102" w:rsidRDefault="00973102">
    <w:pPr>
      <w:pStyle w:val="Rodap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F804" w14:textId="77777777" w:rsidR="00D23E11" w:rsidRDefault="00D23E11">
      <w:r>
        <w:separator/>
      </w:r>
    </w:p>
  </w:footnote>
  <w:footnote w:type="continuationSeparator" w:id="0">
    <w:p w14:paraId="369D5E37" w14:textId="77777777" w:rsidR="00D23E11" w:rsidRDefault="00D23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7EB6" w14:textId="77777777" w:rsidR="00BA1544" w:rsidRDefault="00BA1544" w:rsidP="00BA1544">
    <w:pPr>
      <w:pStyle w:val="Cabealho"/>
    </w:pPr>
  </w:p>
  <w:p w14:paraId="56B3E20F" w14:textId="77777777" w:rsidR="007524DD" w:rsidRDefault="007524DD" w:rsidP="00BA1544">
    <w:pPr>
      <w:pStyle w:val="Cabealho"/>
    </w:pPr>
  </w:p>
  <w:p w14:paraId="4DF44066" w14:textId="77777777" w:rsidR="008C214C" w:rsidRPr="008C214C" w:rsidRDefault="00000000" w:rsidP="008C214C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6"/>
        <w:szCs w:val="36"/>
        <w:lang w:eastAsia="en-US"/>
      </w:rPr>
    </w:pPr>
    <w:r w:rsidRPr="008C214C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0" distR="0" simplePos="0" relativeHeight="251658240" behindDoc="0" locked="0" layoutInCell="0" allowOverlap="1" wp14:anchorId="613FEF64" wp14:editId="6CCFBE39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29438392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14C">
      <w:rPr>
        <w:rFonts w:ascii="Calibri" w:eastAsia="Calibri" w:hAnsi="Calibri"/>
        <w:b/>
        <w:bCs/>
        <w:sz w:val="36"/>
        <w:szCs w:val="36"/>
        <w:lang w:eastAsia="en-US"/>
      </w:rPr>
      <w:t>CÂMARA MUNICIPAL DA ESTÂNCIA DE BRAGANÇA PAULISTA</w:t>
    </w:r>
  </w:p>
  <w:p w14:paraId="2E5778ED" w14:textId="77777777" w:rsidR="00973102" w:rsidRPr="006350E7" w:rsidRDefault="00973102" w:rsidP="00AD4540">
    <w:pPr>
      <w:pStyle w:val="Cabealho"/>
      <w:ind w:left="-567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503A1"/>
    <w:rsid w:val="00051F28"/>
    <w:rsid w:val="000B05D5"/>
    <w:rsid w:val="000B218A"/>
    <w:rsid w:val="000C289C"/>
    <w:rsid w:val="000C4F12"/>
    <w:rsid w:val="000D328D"/>
    <w:rsid w:val="00116767"/>
    <w:rsid w:val="001257EC"/>
    <w:rsid w:val="00164180"/>
    <w:rsid w:val="00180EC2"/>
    <w:rsid w:val="00183490"/>
    <w:rsid w:val="00187864"/>
    <w:rsid w:val="001937A8"/>
    <w:rsid w:val="00196A38"/>
    <w:rsid w:val="001A5873"/>
    <w:rsid w:val="001A64C8"/>
    <w:rsid w:val="001C2D74"/>
    <w:rsid w:val="001E254C"/>
    <w:rsid w:val="00236829"/>
    <w:rsid w:val="0024495D"/>
    <w:rsid w:val="00287D8E"/>
    <w:rsid w:val="002979AC"/>
    <w:rsid w:val="002E3298"/>
    <w:rsid w:val="002F021A"/>
    <w:rsid w:val="00302DFE"/>
    <w:rsid w:val="003123FB"/>
    <w:rsid w:val="00320D53"/>
    <w:rsid w:val="00364646"/>
    <w:rsid w:val="00376FE9"/>
    <w:rsid w:val="00393D29"/>
    <w:rsid w:val="003B40AD"/>
    <w:rsid w:val="003B59BE"/>
    <w:rsid w:val="003E5FFF"/>
    <w:rsid w:val="003F7355"/>
    <w:rsid w:val="004002F0"/>
    <w:rsid w:val="00475A41"/>
    <w:rsid w:val="00485E4D"/>
    <w:rsid w:val="004B0C7A"/>
    <w:rsid w:val="004B7E35"/>
    <w:rsid w:val="005009BD"/>
    <w:rsid w:val="005073A5"/>
    <w:rsid w:val="00515360"/>
    <w:rsid w:val="00521EDD"/>
    <w:rsid w:val="00532966"/>
    <w:rsid w:val="00542B6A"/>
    <w:rsid w:val="005531BF"/>
    <w:rsid w:val="005565FF"/>
    <w:rsid w:val="00586037"/>
    <w:rsid w:val="00594B31"/>
    <w:rsid w:val="00595F1E"/>
    <w:rsid w:val="005A2E3F"/>
    <w:rsid w:val="005B4311"/>
    <w:rsid w:val="006350E7"/>
    <w:rsid w:val="00661E43"/>
    <w:rsid w:val="00690883"/>
    <w:rsid w:val="006918A3"/>
    <w:rsid w:val="006A5876"/>
    <w:rsid w:val="006C300B"/>
    <w:rsid w:val="006C50BF"/>
    <w:rsid w:val="006C5F50"/>
    <w:rsid w:val="006E4CA2"/>
    <w:rsid w:val="00704DD2"/>
    <w:rsid w:val="007123C6"/>
    <w:rsid w:val="00722FA0"/>
    <w:rsid w:val="007354C4"/>
    <w:rsid w:val="007524DD"/>
    <w:rsid w:val="007936B6"/>
    <w:rsid w:val="007B06AC"/>
    <w:rsid w:val="007E1D0E"/>
    <w:rsid w:val="007F7FFA"/>
    <w:rsid w:val="0080554C"/>
    <w:rsid w:val="008A354F"/>
    <w:rsid w:val="008C1476"/>
    <w:rsid w:val="008C214C"/>
    <w:rsid w:val="00905A7A"/>
    <w:rsid w:val="00906ABB"/>
    <w:rsid w:val="009614F8"/>
    <w:rsid w:val="00973102"/>
    <w:rsid w:val="00974290"/>
    <w:rsid w:val="009860BB"/>
    <w:rsid w:val="00987639"/>
    <w:rsid w:val="009C0340"/>
    <w:rsid w:val="009C2B3F"/>
    <w:rsid w:val="009E2B4D"/>
    <w:rsid w:val="009F274B"/>
    <w:rsid w:val="00A07387"/>
    <w:rsid w:val="00A07FA2"/>
    <w:rsid w:val="00A40B8B"/>
    <w:rsid w:val="00A8412B"/>
    <w:rsid w:val="00AB42DC"/>
    <w:rsid w:val="00AC2ED3"/>
    <w:rsid w:val="00AC4458"/>
    <w:rsid w:val="00AD4540"/>
    <w:rsid w:val="00AD794A"/>
    <w:rsid w:val="00B13F56"/>
    <w:rsid w:val="00B174D4"/>
    <w:rsid w:val="00B22EA7"/>
    <w:rsid w:val="00B4089B"/>
    <w:rsid w:val="00B450F6"/>
    <w:rsid w:val="00B50B53"/>
    <w:rsid w:val="00B5137B"/>
    <w:rsid w:val="00B62E48"/>
    <w:rsid w:val="00BA1544"/>
    <w:rsid w:val="00BA1AEC"/>
    <w:rsid w:val="00BC4D08"/>
    <w:rsid w:val="00BE259B"/>
    <w:rsid w:val="00BE61DC"/>
    <w:rsid w:val="00BF5D47"/>
    <w:rsid w:val="00C3127B"/>
    <w:rsid w:val="00C445E5"/>
    <w:rsid w:val="00C5638F"/>
    <w:rsid w:val="00C80112"/>
    <w:rsid w:val="00C806C1"/>
    <w:rsid w:val="00CB0CFA"/>
    <w:rsid w:val="00CE5D8D"/>
    <w:rsid w:val="00CF4BD6"/>
    <w:rsid w:val="00D10C56"/>
    <w:rsid w:val="00D23E11"/>
    <w:rsid w:val="00D473B3"/>
    <w:rsid w:val="00D81B85"/>
    <w:rsid w:val="00DC55A3"/>
    <w:rsid w:val="00DD39C8"/>
    <w:rsid w:val="00DF4699"/>
    <w:rsid w:val="00E03E7F"/>
    <w:rsid w:val="00E13047"/>
    <w:rsid w:val="00E135E7"/>
    <w:rsid w:val="00E155FC"/>
    <w:rsid w:val="00E20C1D"/>
    <w:rsid w:val="00E216C3"/>
    <w:rsid w:val="00E24F73"/>
    <w:rsid w:val="00E73654"/>
    <w:rsid w:val="00EB4D07"/>
    <w:rsid w:val="00EC32E0"/>
    <w:rsid w:val="00EC41A8"/>
    <w:rsid w:val="00EF6BF6"/>
    <w:rsid w:val="00F03565"/>
    <w:rsid w:val="00F0387A"/>
    <w:rsid w:val="00F47A3C"/>
    <w:rsid w:val="00F61258"/>
    <w:rsid w:val="00F620C3"/>
    <w:rsid w:val="00F646F0"/>
    <w:rsid w:val="00FE1D90"/>
    <w:rsid w:val="00FE5E1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6D25C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THEREZA PAULA DE MORAES LUGLI</cp:lastModifiedBy>
  <cp:revision>13</cp:revision>
  <dcterms:created xsi:type="dcterms:W3CDTF">2026-01-29T19:09:00Z</dcterms:created>
  <dcterms:modified xsi:type="dcterms:W3CDTF">2026-02-19T16:39:00Z</dcterms:modified>
</cp:coreProperties>
</file>