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56AD" w14:textId="77777777" w:rsidR="00310EB4" w:rsidRDefault="00310EB4" w:rsidP="00310EB4">
      <w:pPr>
        <w:jc w:val="both"/>
        <w:rPr>
          <w:rFonts w:ascii="Arial" w:hAnsi="Arial"/>
        </w:rPr>
      </w:pPr>
    </w:p>
    <w:p w14:paraId="37D5E71A" w14:textId="77777777" w:rsidR="004D3965" w:rsidRPr="004D3965" w:rsidRDefault="004D3965" w:rsidP="004D3965">
      <w:pPr>
        <w:spacing w:line="256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6590"/>
        <w:gridCol w:w="1312"/>
      </w:tblGrid>
      <w:tr w:rsidR="004D3965" w:rsidRPr="004D3965" w14:paraId="50CAE479" w14:textId="77777777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F9B60" w14:textId="77777777" w:rsidR="004D3965" w:rsidRPr="004D3965" w:rsidRDefault="004D3965" w:rsidP="004D396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7DEE" w14:textId="77777777" w:rsidR="004D3965" w:rsidRPr="004D3965" w:rsidRDefault="004D3965" w:rsidP="004D396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793D4F2" w14:textId="6B150190" w:rsidR="004D3965" w:rsidRPr="004D3965" w:rsidRDefault="004D3965" w:rsidP="004D396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D396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6C47B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  <w:r w:rsidRPr="004D396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4D3965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7D5D3EAC" w14:textId="7D5640AA" w:rsidR="004D3965" w:rsidRPr="004D3965" w:rsidRDefault="004D3965" w:rsidP="004D396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D396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 w:rsidR="006C47B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11 DE MARÇO</w:t>
            </w:r>
            <w:r w:rsidRPr="004D396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2026</w:t>
            </w:r>
          </w:p>
          <w:p w14:paraId="7D3A48F0" w14:textId="77777777" w:rsidR="004D3965" w:rsidRPr="004D3965" w:rsidRDefault="004D3965" w:rsidP="004D396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D1427" w14:textId="77777777" w:rsidR="004D3965" w:rsidRPr="004D3965" w:rsidRDefault="004D3965" w:rsidP="004D396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12ABDAAA" w14:textId="77777777" w:rsidR="004D3965" w:rsidRPr="004D3965" w:rsidRDefault="004D3965" w:rsidP="004D3965">
      <w:pPr>
        <w:spacing w:line="256" w:lineRule="auto"/>
        <w:jc w:val="both"/>
        <w:rPr>
          <w:rFonts w:ascii="Arial" w:eastAsia="Calibri" w:hAnsi="Arial" w:cs="Times New Roman"/>
        </w:rPr>
      </w:pPr>
    </w:p>
    <w:p w14:paraId="65F06407" w14:textId="6158D1AC" w:rsidR="004D3965" w:rsidRPr="00832F6D" w:rsidRDefault="004D3965" w:rsidP="00725377">
      <w:pPr>
        <w:tabs>
          <w:tab w:val="left" w:pos="851"/>
        </w:tabs>
        <w:suppressAutoHyphens w:val="0"/>
        <w:spacing w:after="0" w:line="240" w:lineRule="auto"/>
        <w:ind w:firstLine="1134"/>
        <w:contextualSpacing/>
        <w:jc w:val="both"/>
        <w:rPr>
          <w:rFonts w:ascii="Arial" w:eastAsia="Times New Roman" w:hAnsi="Arial" w:cs="Arial"/>
          <w:color w:val="ED0000"/>
          <w:sz w:val="24"/>
          <w:szCs w:val="24"/>
          <w:lang w:eastAsia="pt-BR"/>
        </w:rPr>
      </w:pPr>
      <w:r w:rsidRPr="00305E0F">
        <w:rPr>
          <w:rFonts w:ascii="Arial" w:eastAsia="Times New Roman" w:hAnsi="Arial" w:cs="Arial"/>
          <w:sz w:val="24"/>
          <w:szCs w:val="24"/>
          <w:lang w:eastAsia="pt-BR"/>
        </w:rPr>
        <w:t>Às 16h</w:t>
      </w:r>
      <w:r w:rsidR="00BB32F9" w:rsidRPr="00305E0F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 w:rsidR="00BB32F9" w:rsidRPr="00305E0F">
        <w:rPr>
          <w:rFonts w:ascii="Arial" w:eastAsia="Times New Roman" w:hAnsi="Arial" w:cs="Arial"/>
          <w:sz w:val="24"/>
          <w:szCs w:val="24"/>
          <w:lang w:eastAsia="pt-BR"/>
        </w:rPr>
        <w:t>11 de março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de 2026, no Auditório Vereador José </w:t>
      </w:r>
      <w:proofErr w:type="spellStart"/>
      <w:r w:rsidRPr="00305E0F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305E0F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de Bragança Paulista, localizada na Praça </w:t>
      </w:r>
      <w:proofErr w:type="spellStart"/>
      <w:r w:rsidRPr="00305E0F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125, 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com a presença dos </w:t>
      </w:r>
      <w:r w:rsidR="00305E0F" w:rsidRPr="00305E0F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7191" w:rsidRPr="00305E0F">
        <w:rPr>
          <w:rFonts w:ascii="Arial" w:eastAsia="Times New Roman" w:hAnsi="Arial" w:cs="Arial"/>
          <w:sz w:val="24"/>
          <w:szCs w:val="24"/>
          <w:lang w:eastAsia="pt-BR"/>
        </w:rPr>
        <w:t>Bruno Leme</w:t>
      </w:r>
      <w:r w:rsidR="00305E0F" w:rsidRPr="00305E0F">
        <w:rPr>
          <w:rFonts w:ascii="Arial" w:eastAsia="Times New Roman" w:hAnsi="Arial" w:cs="Arial"/>
          <w:sz w:val="24"/>
          <w:szCs w:val="24"/>
          <w:lang w:eastAsia="pt-BR"/>
        </w:rPr>
        <w:t>, presidente,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e Ismael Brasilino, membro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>, foram declarados abertos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>, sob a presidência do primeiro,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os trabalhos da 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Comissão de Finanças, Orçamento, Obras, Serviços Públicos e Desenvolvimento Urbano no exercício. 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Os edis </w:t>
      </w:r>
      <w:r w:rsidR="00725377" w:rsidRPr="00305E0F">
        <w:rPr>
          <w:rFonts w:ascii="Arial" w:eastAsia="Times New Roman" w:hAnsi="Arial" w:cs="Arial"/>
          <w:sz w:val="24"/>
          <w:szCs w:val="24"/>
          <w:lang w:eastAsia="pt-BR"/>
        </w:rPr>
        <w:t>Fábio Nascimento,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Gabriel Gomes Curió</w:t>
      </w:r>
      <w:r w:rsidR="00725377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e Missionária </w:t>
      </w:r>
      <w:proofErr w:type="spellStart"/>
      <w:r w:rsidR="00725377" w:rsidRPr="00305E0F">
        <w:rPr>
          <w:rFonts w:ascii="Arial" w:eastAsia="Times New Roman" w:hAnsi="Arial" w:cs="Arial"/>
          <w:sz w:val="24"/>
          <w:szCs w:val="24"/>
          <w:lang w:eastAsia="pt-BR"/>
        </w:rPr>
        <w:t>Pokaia</w:t>
      </w:r>
      <w:proofErr w:type="spellEnd"/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estiveram ausentes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. No ato de abertura da presente sessão, constavam cerca de 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Foi cumprida a seguinte pauta: </w:t>
      </w:r>
      <w:r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Análise </w:t>
      </w:r>
      <w:r w:rsidR="00417191" w:rsidRPr="004171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matérias em trâmite:</w:t>
      </w:r>
      <w:r w:rsidR="00417191" w:rsidRPr="00417191">
        <w:rPr>
          <w:rFonts w:ascii="Arial" w:eastAsia="Times New Roman" w:hAnsi="Arial" w:cs="Arial"/>
          <w:sz w:val="24"/>
          <w:szCs w:val="24"/>
          <w:lang w:eastAsia="pt-BR"/>
        </w:rPr>
        <w:t xml:space="preserve"> não consta</w:t>
      </w:r>
      <w:r w:rsidR="00417191" w:rsidRPr="00305E0F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417191" w:rsidRPr="00417191">
        <w:rPr>
          <w:rFonts w:ascii="Arial" w:eastAsia="Times New Roman" w:hAnsi="Arial" w:cs="Arial"/>
          <w:sz w:val="24"/>
          <w:szCs w:val="24"/>
          <w:lang w:eastAsia="pt-BR"/>
        </w:rPr>
        <w:t>m matérias</w:t>
      </w:r>
      <w:r w:rsidR="00725377" w:rsidRPr="00305E0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17191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7191" w:rsidRPr="00305E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Recebimento de matérias para </w:t>
      </w:r>
      <w:r w:rsidR="00417191" w:rsidRPr="004171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designação de relatoria e notificação de prazos para emissão de parecer: </w:t>
      </w:r>
      <w:r w:rsidR="00725377" w:rsidRPr="00305E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417191" w:rsidRPr="004171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.1 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>Em regime ordinário, com prazo do relator até 17/03/2026 e da comissão até 25/03/2026:</w:t>
      </w:r>
      <w:bookmarkStart w:id="0" w:name="_Hlk224111712"/>
      <w:r w:rsidR="00725377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25377" w:rsidRPr="00305E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417191" w:rsidRPr="004171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.1.1 PROJETO DE LEI N° 82/2025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autoria da vereadora Missionária </w:t>
      </w:r>
      <w:proofErr w:type="spellStart"/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>Pokaia</w:t>
      </w:r>
      <w:proofErr w:type="spellEnd"/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>, que institui o Dia Municipal da Mulher Negra e/ou Afrodescendente.</w:t>
      </w:r>
      <w:r w:rsidR="00725377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Relator designado: </w:t>
      </w:r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>Fábio Nascimento</w:t>
      </w:r>
      <w:r w:rsidR="00725377" w:rsidRPr="00305E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725377" w:rsidRPr="00305E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417191" w:rsidRPr="004171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.1.2 PROJETO DE LEI N° 83/2025</w:t>
      </w:r>
      <w:r w:rsidR="00417191" w:rsidRPr="00417191">
        <w:rPr>
          <w:rFonts w:ascii="Arial" w:eastAsia="Times New Roman" w:hAnsi="Arial" w:cs="Arial"/>
          <w:sz w:val="24"/>
          <w:szCs w:val="24"/>
          <w:lang w:eastAsia="pt-BR"/>
        </w:rPr>
        <w:t>, de autoria da vereadora Camila Marino da Saúde, que dispõe sobre a obrigatoriedade de informação à gestante da prerrogativa de doação da membrana amniótica para fins terapêuticos e de pesquisa.</w:t>
      </w:r>
      <w:bookmarkEnd w:id="0"/>
      <w:r w:rsidR="00725377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>Relator</w:t>
      </w:r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designad</w:t>
      </w:r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Missionária </w:t>
      </w:r>
      <w:proofErr w:type="spellStart"/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>Pokaia</w:t>
      </w:r>
      <w:proofErr w:type="spellEnd"/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>;</w:t>
      </w:r>
      <w:r w:rsidR="00725377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25377" w:rsidRPr="00305E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417191" w:rsidRPr="004171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.1.</w:t>
      </w:r>
      <w:r w:rsidR="00305E0F" w:rsidRPr="00305E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="00417191" w:rsidRPr="004171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bookmarkStart w:id="1" w:name="_Hlk224111744"/>
      <w:r w:rsidR="00417191" w:rsidRPr="004171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COMPLEMENTAR Nº 5/2026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>, de autoria do prefeito Edmir Chedid, que altera as Leis Complementares n° 587, de 10 de dezembro de 2007</w:t>
      </w:r>
      <w:r w:rsidR="00305E0F" w:rsidRPr="00305E0F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n° 717, de 2 de dezembro de 2011, que dispõe sobre autorização para doação de terreno a indústria e dá outras providências </w:t>
      </w:r>
      <w:r w:rsidR="00417191" w:rsidRPr="0041719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(Empresa </w:t>
      </w:r>
      <w:proofErr w:type="spellStart"/>
      <w:r w:rsidR="00417191" w:rsidRPr="0041719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Samtronic</w:t>
      </w:r>
      <w:proofErr w:type="spellEnd"/>
      <w:r w:rsidR="00417191" w:rsidRPr="0041719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 Indústria e Comércio Ltda.)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bookmarkEnd w:id="1"/>
      <w:r w:rsidR="00725377"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Relator designado: </w:t>
      </w:r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>Ismael Brasilino</w:t>
      </w:r>
      <w:r w:rsidR="00725377" w:rsidRPr="00305E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Correspondências recebidas:</w:t>
      </w:r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3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>.1 Ofício nº 02/2026 - GTC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do Executivo, confirmando a participação do </w:t>
      </w:r>
      <w:r w:rsidR="00725377" w:rsidRPr="00305E0F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ecretário </w:t>
      </w:r>
      <w:r w:rsidR="00725377" w:rsidRPr="00305E0F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>unicipal de Obras na sessão de 24 de março</w:t>
      </w:r>
      <w:r w:rsidR="00725377" w:rsidRPr="00305E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725377" w:rsidRPr="00305E0F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417191" w:rsidRPr="00417191">
        <w:rPr>
          <w:rFonts w:ascii="Arial" w:eastAsia="Times New Roman" w:hAnsi="Arial" w:cs="Arial"/>
          <w:b/>
          <w:sz w:val="24"/>
          <w:szCs w:val="24"/>
          <w:lang w:eastAsia="pt-BR"/>
        </w:rPr>
        <w:t>.2 Ofício nº 03/2026 - GTC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do Executivo, confirmando a participação do </w:t>
      </w:r>
      <w:r w:rsidR="00725377" w:rsidRPr="00305E0F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ecretário </w:t>
      </w:r>
      <w:r w:rsidR="00725377" w:rsidRPr="00305E0F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417191" w:rsidRPr="00417191">
        <w:rPr>
          <w:rFonts w:ascii="Arial" w:eastAsia="Times New Roman" w:hAnsi="Arial" w:cs="Arial"/>
          <w:bCs/>
          <w:sz w:val="24"/>
          <w:szCs w:val="24"/>
          <w:lang w:eastAsia="pt-BR"/>
        </w:rPr>
        <w:t>unicipal de Serviços na sessão de 17 de março</w:t>
      </w:r>
      <w:r w:rsidR="00725377" w:rsidRPr="00305E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725377" w:rsidRPr="00305E0F">
        <w:rPr>
          <w:rFonts w:ascii="Arial" w:eastAsia="Times New Roman" w:hAnsi="Arial" w:cs="Arial"/>
          <w:b/>
          <w:sz w:val="24"/>
          <w:szCs w:val="24"/>
          <w:lang w:val="pt-PT" w:eastAsia="pt-BR"/>
        </w:rPr>
        <w:t>4</w:t>
      </w:r>
      <w:r w:rsidRPr="00305E0F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Encerramento: </w:t>
      </w:r>
      <w:r w:rsidRPr="00305E0F">
        <w:rPr>
          <w:rFonts w:ascii="Arial" w:eastAsia="Times New Roman" w:hAnsi="Arial" w:cs="Arial"/>
          <w:sz w:val="24"/>
          <w:szCs w:val="24"/>
          <w:lang w:val="pt-PT" w:eastAsia="pt-BR"/>
        </w:rPr>
        <w:t>n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>ada mais tendo sido tratado, os trabalhos desta sessão foram encerrados às 16h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, ficando os vereadores convocados para a 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CFO no exercício, a ser realizada neste auditório em 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2026, a partir das 1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h. De tudo quanto houve, eu, Glaucia 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Mariana </w:t>
      </w:r>
      <w:proofErr w:type="spellStart"/>
      <w:r w:rsidRPr="00305E0F">
        <w:rPr>
          <w:rFonts w:ascii="Arial" w:eastAsia="Times New Roman" w:hAnsi="Arial" w:cs="Arial"/>
          <w:sz w:val="24"/>
          <w:szCs w:val="24"/>
          <w:lang w:eastAsia="pt-BR"/>
        </w:rPr>
        <w:t>Cesila</w:t>
      </w:r>
      <w:proofErr w:type="spellEnd"/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Ferreira, Assistente de Gestão Legislativa, lavrei e revisei a presente ata, que, lida e considerada conforme, vai assinada pelos integrantes da comissão. Os pronunciamentos constam, na íntegra, dos serviços de gravação da Câmara Municipal, como arquivo permanente. Casa do Poder Legislativo, </w:t>
      </w:r>
      <w:r w:rsidR="001D15BF" w:rsidRPr="00305E0F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Pr="00305E0F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2026.</w:t>
      </w:r>
    </w:p>
    <w:p w14:paraId="523A4A31" w14:textId="77777777" w:rsidR="004D3965" w:rsidRPr="001D15BF" w:rsidRDefault="004D3965" w:rsidP="004D3965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213D17FD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3FCE04C0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5D990A4C" w14:textId="77777777" w:rsidR="004D3965" w:rsidRPr="004D3965" w:rsidRDefault="004D3965" w:rsidP="004D3965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532CE990" w14:textId="77777777" w:rsidR="004D3965" w:rsidRPr="004D3965" w:rsidRDefault="004D3965" w:rsidP="004D3965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7D091EFD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61F6BC68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FÁBIO NASCIMENTO</w:t>
      </w:r>
    </w:p>
    <w:p w14:paraId="51A6BC38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           </w:t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048F9367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13168ED8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63729F53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  </w:t>
      </w:r>
    </w:p>
    <w:p w14:paraId="3F572F75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  ISMAEL BRASILINO</w:t>
      </w:r>
    </w:p>
    <w:p w14:paraId="0EC48275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3965">
        <w:rPr>
          <w:rFonts w:ascii="Arial" w:eastAsia="Times New Roman" w:hAnsi="Arial" w:cs="Arial"/>
          <w:sz w:val="24"/>
          <w:szCs w:val="24"/>
          <w:lang w:eastAsia="pt-BR"/>
        </w:rPr>
        <w:t>Membro</w:t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D3965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</w:t>
      </w:r>
      <w:proofErr w:type="spellStart"/>
      <w:r w:rsidRPr="004D3965">
        <w:rPr>
          <w:rFonts w:ascii="Arial" w:eastAsia="Times New Roman" w:hAnsi="Arial" w:cs="Arial"/>
          <w:sz w:val="24"/>
          <w:szCs w:val="24"/>
          <w:lang w:eastAsia="pt-BR"/>
        </w:rPr>
        <w:t>Membro</w:t>
      </w:r>
      <w:proofErr w:type="spellEnd"/>
    </w:p>
    <w:p w14:paraId="23CD8C03" w14:textId="77777777" w:rsidR="004D3965" w:rsidRPr="004D3965" w:rsidRDefault="004D3965" w:rsidP="004D396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D3965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</w:t>
      </w:r>
    </w:p>
    <w:p w14:paraId="1F8109D6" w14:textId="77777777" w:rsidR="004D3965" w:rsidRPr="004D3965" w:rsidRDefault="004D3965" w:rsidP="004D3965">
      <w:pPr>
        <w:spacing w:line="256" w:lineRule="auto"/>
        <w:rPr>
          <w:rFonts w:ascii="Calibri" w:eastAsia="Calibri" w:hAnsi="Calibri" w:cs="Times New Roman"/>
        </w:rPr>
      </w:pPr>
    </w:p>
    <w:p w14:paraId="23A5B719" w14:textId="77777777" w:rsidR="00435FA3" w:rsidRPr="00310EB4" w:rsidRDefault="00435FA3" w:rsidP="00310EB4"/>
    <w:sectPr w:rsidR="00435FA3" w:rsidRPr="00310EB4" w:rsidSect="00832F6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10" w:right="991" w:bottom="1417" w:left="1701" w:header="142" w:footer="412" w:gutter="0"/>
      <w:pgNumType w:start="13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EB5E" w14:textId="77777777" w:rsidR="00DC2CC0" w:rsidRDefault="00DC2CC0">
      <w:pPr>
        <w:spacing w:after="0" w:line="240" w:lineRule="auto"/>
      </w:pPr>
      <w:r>
        <w:separator/>
      </w:r>
    </w:p>
  </w:endnote>
  <w:endnote w:type="continuationSeparator" w:id="0">
    <w:p w14:paraId="3B1DDED5" w14:textId="77777777" w:rsidR="00DC2CC0" w:rsidRDefault="00DC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2CFC" w14:textId="3495812C" w:rsidR="004D3965" w:rsidRPr="00CD7DB9" w:rsidRDefault="004D3965" w:rsidP="004D3965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41F295CA" w14:textId="77777777" w:rsidR="004D3965" w:rsidRPr="00CD7DB9" w:rsidRDefault="004D3965" w:rsidP="004D3965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>
      <w:rPr>
        <w:rFonts w:ascii="Arial" w:eastAsia="Times New Roman" w:hAnsi="Arial"/>
        <w:sz w:val="16"/>
        <w:szCs w:val="20"/>
        <w:lang w:eastAsia="pt-BR"/>
      </w:rPr>
      <w:t>11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126942D9" w14:textId="77777777" w:rsidR="004D3965" w:rsidRPr="00CD7DB9" w:rsidRDefault="004D3965" w:rsidP="004D3965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6B3637DA" w14:textId="77777777" w:rsidR="004D3965" w:rsidRDefault="004D3965" w:rsidP="004D3965">
    <w:pPr>
      <w:pStyle w:val="Rodap"/>
    </w:pPr>
  </w:p>
  <w:p w14:paraId="562FE068" w14:textId="230F7355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149D2FEC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5931" w14:textId="77777777" w:rsidR="00DC2CC0" w:rsidRDefault="00DC2CC0">
      <w:pPr>
        <w:spacing w:after="0" w:line="240" w:lineRule="auto"/>
      </w:pPr>
      <w:r>
        <w:separator/>
      </w:r>
    </w:p>
  </w:footnote>
  <w:footnote w:type="continuationSeparator" w:id="0">
    <w:p w14:paraId="0F5A981E" w14:textId="77777777" w:rsidR="00DC2CC0" w:rsidRDefault="00DC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D7B1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190755DD" wp14:editId="4975CBDD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55703977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252A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71AA930" wp14:editId="64D97059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61168524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D4852"/>
    <w:rsid w:val="00112618"/>
    <w:rsid w:val="001215E2"/>
    <w:rsid w:val="001D15BF"/>
    <w:rsid w:val="002610F6"/>
    <w:rsid w:val="00305E0F"/>
    <w:rsid w:val="00310EB4"/>
    <w:rsid w:val="003857F4"/>
    <w:rsid w:val="003C21B2"/>
    <w:rsid w:val="003F4066"/>
    <w:rsid w:val="00404A5D"/>
    <w:rsid w:val="00417191"/>
    <w:rsid w:val="00435FA3"/>
    <w:rsid w:val="004D3965"/>
    <w:rsid w:val="0051129F"/>
    <w:rsid w:val="00544669"/>
    <w:rsid w:val="005579C0"/>
    <w:rsid w:val="006C47BD"/>
    <w:rsid w:val="00725377"/>
    <w:rsid w:val="0078084A"/>
    <w:rsid w:val="00832F6D"/>
    <w:rsid w:val="00856CD0"/>
    <w:rsid w:val="009071BD"/>
    <w:rsid w:val="00A24A0C"/>
    <w:rsid w:val="00B4089B"/>
    <w:rsid w:val="00BB32F9"/>
    <w:rsid w:val="00BD7ABB"/>
    <w:rsid w:val="00BE0F5C"/>
    <w:rsid w:val="00BF0527"/>
    <w:rsid w:val="00CA42FB"/>
    <w:rsid w:val="00CC06EF"/>
    <w:rsid w:val="00D90091"/>
    <w:rsid w:val="00DC2CC0"/>
    <w:rsid w:val="00DC6405"/>
    <w:rsid w:val="00E010B7"/>
    <w:rsid w:val="00E6259D"/>
    <w:rsid w:val="00E95169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8983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10</cp:revision>
  <dcterms:created xsi:type="dcterms:W3CDTF">2026-01-15T12:36:00Z</dcterms:created>
  <dcterms:modified xsi:type="dcterms:W3CDTF">2026-03-30T14:04:00Z</dcterms:modified>
  <dc:language>pt-BR</dc:language>
</cp:coreProperties>
</file>