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8857D2" w14:paraId="63EF6030" w14:textId="77777777" w:rsidTr="004700AF">
        <w:tc>
          <w:tcPr>
            <w:tcW w:w="8931" w:type="dxa"/>
          </w:tcPr>
          <w:p w14:paraId="3DA0FBF9" w14:textId="77777777" w:rsidR="008330DF" w:rsidRPr="00991AF9" w:rsidRDefault="001A0728" w:rsidP="00491099">
            <w:pPr>
              <w:suppressAutoHyphens w:val="0"/>
              <w:spacing w:after="0" w:line="240" w:lineRule="auto"/>
              <w:ind w:left="-358" w:firstLine="35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91AF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ATA DA </w:t>
            </w:r>
            <w:r w:rsidR="00103989" w:rsidRPr="00991AF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</w:t>
            </w:r>
            <w:r w:rsidRPr="00991AF9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ª AUDIÊNCIA PÚBLICA DE 2026</w:t>
            </w:r>
          </w:p>
        </w:tc>
      </w:tr>
    </w:tbl>
    <w:p w14:paraId="7149FE61" w14:textId="77777777" w:rsidR="008330DF" w:rsidRPr="00991AF9" w:rsidRDefault="001A0728" w:rsidP="008330D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91AF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EB0D37D" w14:textId="54EEA726" w:rsidR="008330DF" w:rsidRPr="00365192" w:rsidRDefault="001A0728" w:rsidP="00210C97">
      <w:pPr>
        <w:suppressAutoHyphens w:val="0"/>
        <w:spacing w:after="0" w:line="24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91AF9">
        <w:rPr>
          <w:rFonts w:ascii="Arial" w:eastAsia="Times New Roman" w:hAnsi="Arial" w:cs="Arial"/>
          <w:sz w:val="24"/>
          <w:szCs w:val="24"/>
          <w:lang w:eastAsia="pt-BR"/>
        </w:rPr>
        <w:t>Às 18h</w:t>
      </w:r>
      <w:r w:rsidR="00103989" w:rsidRPr="00991AF9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2 do dia </w:t>
      </w:r>
      <w:r w:rsidR="00103989" w:rsidRPr="00991AF9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2026, no Auditório Vereador José </w:t>
      </w:r>
      <w:proofErr w:type="spellStart"/>
      <w:r w:rsidRPr="00991AF9">
        <w:rPr>
          <w:rFonts w:ascii="Arial" w:eastAsia="Times New Roman" w:hAnsi="Arial" w:cs="Arial"/>
          <w:sz w:val="24"/>
          <w:szCs w:val="24"/>
          <w:lang w:eastAsia="pt-BR"/>
        </w:rPr>
        <w:t>Nantala</w:t>
      </w:r>
      <w:proofErr w:type="spellEnd"/>
      <w:r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991AF9">
        <w:rPr>
          <w:rFonts w:ascii="Arial" w:eastAsia="Times New Roman" w:hAnsi="Arial" w:cs="Arial"/>
          <w:sz w:val="24"/>
          <w:szCs w:val="24"/>
          <w:lang w:eastAsia="pt-BR"/>
        </w:rPr>
        <w:t>Bádue</w:t>
      </w:r>
      <w:proofErr w:type="spellEnd"/>
      <w:r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da Câmara Municipal da Estância de Bragança Paulista, localizado na Praça </w:t>
      </w:r>
      <w:proofErr w:type="spellStart"/>
      <w:r w:rsidRPr="00991AF9">
        <w:rPr>
          <w:rFonts w:ascii="Arial" w:eastAsia="Times New Roman" w:hAnsi="Arial" w:cs="Arial"/>
          <w:sz w:val="24"/>
          <w:szCs w:val="24"/>
          <w:lang w:eastAsia="pt-BR"/>
        </w:rPr>
        <w:t>Hafiz</w:t>
      </w:r>
      <w:proofErr w:type="spellEnd"/>
      <w:r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Abi Chedid n° 125, sob a presidência do vereador </w:t>
      </w:r>
      <w:r w:rsidR="00103989" w:rsidRPr="00991AF9">
        <w:rPr>
          <w:rFonts w:ascii="Arial" w:eastAsia="Times New Roman" w:hAnsi="Arial" w:cs="Arial"/>
          <w:sz w:val="24"/>
          <w:szCs w:val="24"/>
          <w:lang w:eastAsia="pt-BR"/>
        </w:rPr>
        <w:t>Sidiney Guedes</w:t>
      </w:r>
      <w:r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, teve início a </w:t>
      </w:r>
      <w:r w:rsidR="00103989" w:rsidRPr="00991AF9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Pr="00991AF9">
        <w:rPr>
          <w:rFonts w:ascii="Arial" w:eastAsia="Times New Roman" w:hAnsi="Arial" w:cs="Arial"/>
          <w:sz w:val="24"/>
          <w:szCs w:val="24"/>
          <w:lang w:eastAsia="pt-BR"/>
        </w:rPr>
        <w:t>ª audiência pública do corrente exercício, convocada pelo Edital n° 1</w:t>
      </w:r>
      <w:r w:rsidR="00103989" w:rsidRPr="00991AF9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991AF9">
        <w:rPr>
          <w:rFonts w:ascii="Arial" w:eastAsia="Times New Roman" w:hAnsi="Arial" w:cs="Arial"/>
          <w:sz w:val="24"/>
          <w:szCs w:val="24"/>
          <w:lang w:eastAsia="pt-BR"/>
        </w:rPr>
        <w:t>/2026, para</w:t>
      </w:r>
      <w:r w:rsidR="00103989"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6DC6" w:rsidRPr="00991AF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Demonstração e Avaliação do Cumprimento das Metas Fiscais do 3º quadrimestre de </w:t>
      </w:r>
      <w:r w:rsidR="00103989" w:rsidRPr="00991A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</w:t>
      </w:r>
      <w:r w:rsidR="00C56DC6" w:rsidRPr="00991A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="00C56DC6"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, conforme solicitação da Secretaria Municipal de Finanças. Logo no início, foi registrada a presença do 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Sr. Francisco José Rocha, </w:t>
      </w:r>
      <w:r w:rsidR="00D1077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Secretário Municipal de Finanças, 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do Sr. José Eduardo Pavan, </w:t>
      </w:r>
      <w:r w:rsidR="00D1077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contador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 ato de abertura da presente audiência, constavam cerca de </w:t>
      </w:r>
      <w:r w:rsidR="00D1077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6</w:t>
      </w:r>
      <w:r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participantes, contando cidadãos presentes, assessoria parlamentar e/ou estagiários desta Casa, bem como representantes de outros órgãos ou instituições e membros da imprensa. A identificação constante deste documento segue o disposto na Lei Federal n° 13.709, de 14 de agosto de 2018 (Lei Geral de Proteção de Dados), bem como mais especificamente as determinações constantes do Ato da Presidência n° 27, de 15 de maio de 2025, que adotou o Parecer Jurídico-Normativo n° 1/2025, que dispõe sobre o tratamento e compartilhamento de dados pessoais no âmbito da Câmara Municipal. Após as saudações iniciais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Presidente </w:t>
      </w:r>
      <w:r w:rsidR="00C56DC6" w:rsidRPr="00991AF9">
        <w:rPr>
          <w:rFonts w:ascii="Arial" w:eastAsia="Times New Roman" w:hAnsi="Arial" w:cs="Arial"/>
          <w:b/>
          <w:sz w:val="24"/>
          <w:szCs w:val="24"/>
          <w:lang w:eastAsia="pt-BR"/>
        </w:rPr>
        <w:t>Sidiney</w:t>
      </w:r>
      <w:r w:rsidR="00C56DC6"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30BD6"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informou que a audiência estava sendo transmitida pelos canais </w:t>
      </w:r>
      <w:r w:rsidR="00D10778" w:rsidRPr="00991AF9">
        <w:rPr>
          <w:rFonts w:ascii="Arial" w:eastAsia="Times New Roman" w:hAnsi="Arial" w:cs="Arial"/>
          <w:sz w:val="24"/>
          <w:szCs w:val="24"/>
          <w:lang w:eastAsia="pt-BR"/>
        </w:rPr>
        <w:t>de comunicação</w:t>
      </w:r>
      <w:r w:rsidR="00330BD6"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da Casa</w:t>
      </w:r>
      <w:r w:rsidR="00D10778"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e que as pessoas podiam enviar</w:t>
      </w:r>
      <w:r w:rsidR="00330BD6"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 questionamentos. Ato contínuo, 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passou a palavra ao Secretário </w:t>
      </w:r>
      <w:r w:rsidR="00C56DC6" w:rsidRPr="00991A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</w:t>
      </w:r>
      <w:r w:rsidR="009C12A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José Rocha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que, utilizando o mate</w:t>
      </w:r>
      <w:r w:rsidR="00D1077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rial que se encontra anexo a est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 ata, deu início à apresentação</w:t>
      </w:r>
      <w:r w:rsidR="00330BD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 primeiro quadro, </w:t>
      </w:r>
      <w:r w:rsidR="006C6F6C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mostrou </w:t>
      </w:r>
      <w:r w:rsidR="00817F4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o total da</w:t>
      </w:r>
      <w:r w:rsidR="0078068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C6F6C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Receita Líquida</w:t>
      </w:r>
      <w:r w:rsidR="0078068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963D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D1077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tualizada</w:t>
      </w:r>
      <w:r w:rsidR="005963D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817F4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</w:t>
      </w:r>
      <w:r w:rsidR="005963D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C6F6C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R$ 1.135.763.098,00, </w:t>
      </w:r>
      <w:r w:rsidR="00817F4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 o valor realizado no 3º quadrimestre, de</w:t>
      </w:r>
      <w:r w:rsidR="006C6F6C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R$ 397.407.280,00</w:t>
      </w:r>
      <w:r w:rsidR="00817F4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que corresponde a 34,99% </w:t>
      </w:r>
      <w:r w:rsidR="00E304A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do montante previsto para o exercício</w:t>
      </w:r>
      <w:r w:rsidR="00817F4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. A</w:t>
      </w:r>
      <w:r w:rsidR="0078068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crescentou que a Receita Corrente Líquida acumulada</w:t>
      </w:r>
      <w:r w:rsidR="00D1077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8068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alcançou R$ 1.207.332.609,00, corresp</w:t>
      </w:r>
      <w:r w:rsidR="000A099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ondendo a 99,82% da previsão, enquanto </w:t>
      </w:r>
      <w:r w:rsidR="0078068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Receita de Capital alcançou os 100%, chegando a R$ 19.802.441,00. </w:t>
      </w:r>
      <w:r w:rsidR="005963D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Mencionou também a Receita Corrente Líquida do quadrimestre, no total de R$ 415.491.641,00, correspondendo a 34,35% do valor previsto, e a Receita de Capital do </w:t>
      </w:r>
      <w:r w:rsidR="007C5AE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mesmo período</w:t>
      </w:r>
      <w:r w:rsidR="005963D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de R$ 9.226.894,00, que corresponde a 46,59% do total. Disse que ambas totalizam R$ 424.718.535,00, valor que, após as deduções, inclusive do Fundo de Manutenção e Desenvolvimento da Educação Básica e de Valorização dos Profissionais da Educação - Fundeb, resulta em uma Receita Líquida de R$ 397.407.280,00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7C5AE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Informou também que o montante acumulado em 2025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C5AE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alcançou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R$ 1.136.324.563,00. Na sequência, mostrou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um comparativo das Receitas por c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ategoria, 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afirmando que no 3º quadrimestre de 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2024 fora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 arrecadados R$ 321.243.157,00 e que em 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2025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no mesmo período,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B87EF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o montante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foi de R$ 397.407.280,00, o que representa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um acréscimo de 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23,70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%, e 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disse que houve um aumento de 12,58%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total acumulado no exercício</w:t>
      </w:r>
      <w:r w:rsidR="003A4BC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: de R$ 1.009.263.088,00 em 2024 para R$ 1.136.324.563,00 em 2025. Ato contínuo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D460A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mostrou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as Receitas por n</w:t>
      </w:r>
      <w:r w:rsidR="00C56DC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atureza</w:t>
      </w:r>
      <w:r w:rsidR="00750BD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2024 e 2025, destacando que o valor das Transferências Correntes 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corresponde, notadamente, a</w:t>
      </w:r>
      <w:r w:rsidR="00750BD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o Imposto sobre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Operações relativas à</w:t>
      </w:r>
      <w:r w:rsidR="00750BD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Circulação de Mercadorias e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sobre Prestações de</w:t>
      </w:r>
      <w:r w:rsidR="00750BD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Serviços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Transporte Interestadual e Intermunicipal e de Comunicação</w:t>
      </w:r>
      <w:r w:rsidR="00750BD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750BD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ICMS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e depois</w:t>
      </w:r>
      <w:r w:rsidR="00D460A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exibiu</w:t>
      </w:r>
      <w:r w:rsidR="000E7FB4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um demonstrativo das principais Receitas, </w:t>
      </w:r>
      <w:r w:rsidR="00D460A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que totalizaram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R$ 816.457.058,00 em 2025, sendo que R$ 263.097.851,00</w:t>
      </w:r>
      <w:r w:rsidR="00D460A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foram arrecadados no 3º quadrimestre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representando 32,22% em relação ao total. No quadro seguinte, 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="006F5FD3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Secretário </w:t>
      </w:r>
      <w:r w:rsidR="006F5FD3" w:rsidRPr="00991A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</w:t>
      </w:r>
      <w:r w:rsidR="006F5F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José Rocha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mostrou um comparativo d</w:t>
      </w:r>
      <w:r w:rsidR="00D460A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essas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principais Receitas nos anos de 2024 e 2025, </w:t>
      </w:r>
      <w:r w:rsidR="00D460A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destacando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no 3º quadrimestre de 2024 foram arrecadados R$ 221.409.050,00 e no 3º 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quadrimestre de 2025 </w:t>
      </w:r>
      <w:r w:rsidR="00B87EF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o montante atingiu</w:t>
      </w:r>
      <w:r w:rsidR="009F0C9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R$ 263.097.851,00</w:t>
      </w:r>
      <w:r w:rsidR="00C7035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o que indica um acréscimo de 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18,82%</w:t>
      </w:r>
      <w:r w:rsidR="00B87EF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e 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disse que</w:t>
      </w:r>
      <w:r w:rsidR="00B87EF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houve um aumento de 10,50%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acumulado do ano</w:t>
      </w:r>
      <w:r w:rsidR="00B87EF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: de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R$ 738.835.726,00</w:t>
      </w:r>
      <w:r w:rsidR="00B87EF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2024 para 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R$ 816.453.765,00</w:t>
      </w:r>
      <w:r w:rsidR="00B87EF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em 2025.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Comentou que as Receitas do município, tanto as próprias como as transferidas, apresentaram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bom 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desempenho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tendo em vista 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a previsão 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inicial 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era de R$ 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1.044.540.000,00 </w:t>
      </w:r>
      <w:r w:rsidR="00F109FE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 foram arrecadados R$ 1.136.324.563,00.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Ato contínuo, falou sobre as Despesas Orçamentárias, 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cuja dotação atualizada alcançou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R$ 1.154.523.976,00, 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 mostrou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 Despesas Correntes empenhadas no quadrimestre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valor de 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R$ 250.693.059,00. Com relação à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 Despesas de Capital, explicou que houve um cancelamen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to d</w:t>
      </w:r>
      <w:r w:rsidR="00D30D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os empenhos no final do ano, no total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R$ 16.389.633,00. Apresentou também os valores liquidados 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no quad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r</w:t>
      </w:r>
      <w:r w:rsidR="00742FFE">
        <w:rPr>
          <w:rFonts w:ascii="Arial" w:eastAsia="Times New Roman" w:hAnsi="Arial" w:cs="Arial"/>
          <w:bCs/>
          <w:sz w:val="24"/>
          <w:szCs w:val="24"/>
          <w:lang w:eastAsia="pt-BR"/>
        </w:rPr>
        <w:t>imestre -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R$ 366.643.710,00 em 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Despesas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Correntes e R$ 23.092.082,00 em Despesas de Capital, somando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R$ 389.735.792,00 </w:t>
      </w:r>
      <w:r w:rsidR="00742FFE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233A2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esclareceu que o valor 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total 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empenhado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de R$ 234.303.426,00,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inferior ao liquidado porque o empenhamento 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refere-se à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42FFE">
        <w:rPr>
          <w:rFonts w:ascii="Arial" w:eastAsia="Times New Roman" w:hAnsi="Arial" w:cs="Arial"/>
          <w:bCs/>
          <w:sz w:val="24"/>
          <w:szCs w:val="24"/>
          <w:lang w:eastAsia="pt-BR"/>
        </w:rPr>
        <w:t>F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olha de </w:t>
      </w:r>
      <w:r w:rsidR="00742FFE">
        <w:rPr>
          <w:rFonts w:ascii="Arial" w:eastAsia="Times New Roman" w:hAnsi="Arial" w:cs="Arial"/>
          <w:bCs/>
          <w:sz w:val="24"/>
          <w:szCs w:val="24"/>
          <w:lang w:eastAsia="pt-BR"/>
        </w:rPr>
        <w:t>P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agamento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No total acumulado, mostrou que foram empenhados R$ 1.011.916.723,00 em 2025 e liquidados R$ 980.425.776,00</w:t>
      </w:r>
      <w:r w:rsidR="00303D4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que representa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303D4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84,92%</w:t>
      </w:r>
      <w:r w:rsidR="000D65D1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empenhado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742FFE">
        <w:rPr>
          <w:rFonts w:ascii="Arial" w:eastAsia="Times New Roman" w:hAnsi="Arial" w:cs="Arial"/>
          <w:bCs/>
          <w:sz w:val="24"/>
          <w:szCs w:val="24"/>
          <w:lang w:eastAsia="pt-BR"/>
        </w:rPr>
        <w:t>Em seguida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apresentou as Despesas por </w:t>
      </w:r>
      <w:r w:rsidR="00F913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n</w:t>
      </w:r>
      <w:r w:rsidR="00FF23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atureza </w:t>
      </w:r>
      <w:r w:rsidR="00F913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por categoria nos anos de 2024 e 2025, indicando que houve uma redução de 9,05% nos valores empenhados </w:t>
      </w:r>
      <w:r w:rsidR="00742FFE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F913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R$ 1.112.622.401,00 em 2024 para R$ 1.011.916.723,00 em 2025 </w:t>
      </w:r>
      <w:r w:rsidR="00742FFE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F913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de 6% nos valores liquidados </w:t>
      </w:r>
      <w:r w:rsidR="00742FFE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 w:rsidR="00F913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R$ 1.043.114.740,00 em 2024 para R$ 980.425.776,00 em 2025. No</w:t>
      </w:r>
      <w:r w:rsidR="00303D4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F913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quadro</w:t>
      </w:r>
      <w:r w:rsidR="00303D4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F913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seguinte</w:t>
      </w:r>
      <w:r w:rsidR="00303D4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F913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mostrou as Despesas por função de governo</w:t>
      </w:r>
      <w:r w:rsidR="00303D4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um comparativo entre essas Despesas em 2024 e 2025 </w:t>
      </w:r>
      <w:r w:rsidR="005879F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 o Resultado Orçamentário por e</w:t>
      </w:r>
      <w:r w:rsidR="00303D4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ntidade. </w:t>
      </w:r>
      <w:r w:rsidR="005879F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Falou também</w:t>
      </w:r>
      <w:r w:rsidR="00303D46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sobre os Restos a Pagar</w:t>
      </w:r>
      <w:r w:rsidR="003651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mencionou</w:t>
      </w:r>
      <w:r w:rsidR="0041492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o sa</w:t>
      </w:r>
      <w:r w:rsidR="005879F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ldo até 31 de dezembro de 2025 era</w:t>
      </w:r>
      <w:r w:rsidR="0041492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R$ 27.871.701,00 processados e R$ 31.772.526,00 não processados, </w:t>
      </w:r>
      <w:r w:rsidR="003651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totalizando</w:t>
      </w:r>
      <w:r w:rsidR="005879F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aproximadamente</w:t>
      </w:r>
      <w:r w:rsidR="0041492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59 milhões de reais. Disse que a Câmara</w:t>
      </w:r>
      <w:r w:rsidR="005879F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Municipal</w:t>
      </w:r>
      <w:r w:rsidR="0041492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contribuiu com uma quantia pequena, de R$ 424.555,00 processados e R$ 2.487.744,00 não processados</w:t>
      </w:r>
      <w:r w:rsidR="005879F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3651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explicou </w:t>
      </w:r>
      <w:r w:rsidR="00365192" w:rsidRPr="00991AF9">
        <w:rPr>
          <w:rFonts w:ascii="Arial" w:hAnsi="Arial" w:cs="Arial"/>
          <w:sz w:val="24"/>
          <w:szCs w:val="24"/>
        </w:rPr>
        <w:t xml:space="preserve">que os valores processados correspondem a despesas </w:t>
      </w:r>
      <w:r w:rsidR="00365192" w:rsidRPr="00991AF9">
        <w:rPr>
          <w:rStyle w:val="Forte"/>
          <w:rFonts w:ascii="Arial" w:hAnsi="Arial" w:cs="Arial"/>
          <w:b w:val="0"/>
          <w:sz w:val="24"/>
          <w:szCs w:val="24"/>
        </w:rPr>
        <w:t>liquidadas que ainda não foram pagas</w:t>
      </w:r>
      <w:r w:rsidR="00365192" w:rsidRPr="00991AF9">
        <w:rPr>
          <w:rFonts w:ascii="Arial" w:hAnsi="Arial" w:cs="Arial"/>
          <w:sz w:val="24"/>
          <w:szCs w:val="24"/>
        </w:rPr>
        <w:t xml:space="preserve">, enquanto os não processados </w:t>
      </w:r>
      <w:r w:rsidR="007B4422">
        <w:rPr>
          <w:rFonts w:ascii="Arial" w:hAnsi="Arial" w:cs="Arial"/>
          <w:sz w:val="24"/>
          <w:szCs w:val="24"/>
        </w:rPr>
        <w:t xml:space="preserve">se </w:t>
      </w:r>
      <w:r w:rsidR="00365192" w:rsidRPr="00991AF9">
        <w:rPr>
          <w:rFonts w:ascii="Arial" w:hAnsi="Arial" w:cs="Arial"/>
          <w:sz w:val="24"/>
          <w:szCs w:val="24"/>
        </w:rPr>
        <w:t xml:space="preserve">referem a despesas realizadas </w:t>
      </w:r>
      <w:r w:rsidR="00365192" w:rsidRPr="00991AF9">
        <w:rPr>
          <w:rStyle w:val="Forte"/>
          <w:rFonts w:ascii="Arial" w:hAnsi="Arial" w:cs="Arial"/>
          <w:b w:val="0"/>
          <w:sz w:val="24"/>
          <w:szCs w:val="24"/>
        </w:rPr>
        <w:t>cuja nota fiscal ainda não foi recebida</w:t>
      </w:r>
      <w:r w:rsidR="00365192" w:rsidRPr="00991AF9">
        <w:rPr>
          <w:rFonts w:ascii="Arial" w:hAnsi="Arial" w:cs="Arial"/>
          <w:sz w:val="24"/>
          <w:szCs w:val="24"/>
        </w:rPr>
        <w:t>, razão pela qual não houve liquidação.</w:t>
      </w:r>
      <w:r w:rsidR="003651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Contou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</w:t>
      </w:r>
      <w:r w:rsidR="003651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em 2025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foi adotado um procedimento diferente para o encerramento do exercício financeiro, iniciado por volta do mês de outubro, com o objetivo de </w:t>
      </w:r>
      <w:r w:rsidR="003651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viabilizar 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uma análise mais criteriosa</w:t>
      </w:r>
      <w:r w:rsidR="003651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por parte das secretarias,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dos </w:t>
      </w:r>
      <w:r w:rsidR="00365192" w:rsidRPr="00991AF9">
        <w:rPr>
          <w:rFonts w:ascii="Arial" w:eastAsia="Times New Roman" w:hAnsi="Arial" w:cs="Arial"/>
          <w:sz w:val="24"/>
          <w:szCs w:val="24"/>
          <w:lang w:eastAsia="pt-BR"/>
        </w:rPr>
        <w:t>Re</w:t>
      </w:r>
      <w:r w:rsidR="009000FD" w:rsidRPr="00991AF9">
        <w:rPr>
          <w:rFonts w:ascii="Arial" w:eastAsia="Times New Roman" w:hAnsi="Arial" w:cs="Arial"/>
          <w:sz w:val="24"/>
          <w:szCs w:val="24"/>
          <w:lang w:eastAsia="pt-BR"/>
        </w:rPr>
        <w:t xml:space="preserve">stos a </w:t>
      </w:r>
      <w:r w:rsidR="00365192" w:rsidRPr="00991AF9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9000FD" w:rsidRPr="00991AF9">
        <w:rPr>
          <w:rFonts w:ascii="Arial" w:eastAsia="Times New Roman" w:hAnsi="Arial" w:cs="Arial"/>
          <w:sz w:val="24"/>
          <w:szCs w:val="24"/>
          <w:lang w:eastAsia="pt-BR"/>
        </w:rPr>
        <w:t>agar não processados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uma vez que esses valores influenciam o Índice de Capacidade de Pagamento - </w:t>
      </w:r>
      <w:proofErr w:type="spellStart"/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Capag</w:t>
      </w:r>
      <w:proofErr w:type="spellEnd"/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</w:t>
      </w:r>
      <w:r w:rsidR="00893232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unicípio. 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Disse que, se a d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espesa foi processada, nada mais justo que deixá-la empenhada, porém não há </w:t>
      </w:r>
      <w:r w:rsidR="0089323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necessidade de manter empenhos superiores à média das despesas mensais, porque isso pode gerar a interpretação, p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or parte do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Tribunal de Contas, de que o </w:t>
      </w:r>
      <w:r w:rsidR="00893232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unicípio possui obrigações maiores do que efetivamente 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tê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m. Informou que foi realizada uma estimativa mais próxima da realidade das despesas e que</w:t>
      </w:r>
      <w:r w:rsidR="00893232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 esse método</w:t>
      </w:r>
      <w:r w:rsidR="00893232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buscou-se evitar o acúmulo excessivo de Restos a Pagar não processados no encerramento do exercício, 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que comprometem o resultado financeiro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Explicou</w:t>
      </w:r>
      <w:r w:rsidR="009000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 muitos Restos a Pagar acabam sendo cancelados.</w:t>
      </w:r>
      <w:r w:rsidR="008C52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Na sequência, mostrou a Dívida Consolidada Líquida nos três quadrimestres de 2025 e destacou que o </w:t>
      </w:r>
      <w:r w:rsidR="00893232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8C52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unicípio tinha um limite global de endividamento de R$ 1.173.787.216,00 no 1º quadrimestre, R$ 1.248.319.793,00 no 2º quadrimestre e R$ 1.329.487.346,00 no 3º quadrimestre.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="006F5FD3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Secretário </w:t>
      </w:r>
      <w:r w:rsidR="006F5FD3" w:rsidRPr="00991AF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</w:t>
      </w:r>
      <w:r w:rsidR="006F5F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José Rocha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alou também sobre o</w:t>
      </w:r>
      <w:r w:rsidR="008C52F5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Resultado Primário</w:t>
      </w:r>
      <w:r w:rsidR="00EB1B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explicando que é a diferença entre as Receitas e as Despesas não financeiras, e disse que, embora o do 3º quadrimestre tenha sido 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de R$ 4.035.229,00</w:t>
      </w:r>
      <w:r w:rsidR="003D3179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negativos</w:t>
      </w:r>
      <w:r w:rsidR="00C10BD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EB1B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</w:t>
      </w:r>
      <w:r w:rsidR="0024137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do</w:t>
      </w:r>
      <w:r w:rsidR="00054DE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exercício</w:t>
      </w:r>
      <w:r w:rsidR="00EB1B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é de R$ 127.838.512,00</w:t>
      </w:r>
      <w:r w:rsidR="003D3179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positivos</w:t>
      </w:r>
      <w:r w:rsidR="00EB1B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24137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Destacou que se esse valor fosse </w:t>
      </w:r>
      <w:r w:rsidR="00EB1B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negativo, com certeza o </w:t>
      </w:r>
      <w:r w:rsidR="00893232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EB1B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unicípio est</w:t>
      </w:r>
      <w:r w:rsidR="0024137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aria</w:t>
      </w:r>
      <w:r w:rsidR="00EB1B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endividado. </w:t>
      </w:r>
      <w:r w:rsidR="009906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No quadro seguinte</w:t>
      </w:r>
      <w:r w:rsidR="0024137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mostrou </w:t>
      </w:r>
      <w:r w:rsidR="006322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</w:t>
      </w:r>
      <w:r w:rsidR="0036181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Dívida Fiscal Líquida de R$ 136.732.069,00 negativos em 2024 e de R$ </w:t>
      </w:r>
      <w:r w:rsidR="006322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239.680.460,00 negativos em 2025 e também o Resultado Nominal 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 valor </w:t>
      </w:r>
      <w:r w:rsidR="006322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de R$ 102.948.391,00 negativos, ressaltando que,</w:t>
      </w:r>
      <w:r w:rsidR="00A1241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24137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nesse </w:t>
      </w:r>
      <w:r w:rsidR="0063229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caso,</w:t>
      </w:r>
      <w:r w:rsidR="00241377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</w:t>
      </w:r>
      <w:r w:rsidR="00A1241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número negativo é bom</w:t>
      </w:r>
      <w:r w:rsidR="001B0D7A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indica capacidade de pagamento. </w:t>
      </w:r>
      <w:r w:rsidR="009906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Ato contí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nuo, falou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das</w:t>
      </w:r>
      <w:r w:rsidR="009906F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aplicações no Ensino, de 26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,53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% da Receita de Impostos,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estando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acima, portanto, do percentual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mínimo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obrigatório de 25%, e</w:t>
      </w:r>
      <w:r w:rsidR="00B53E1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A0598">
        <w:rPr>
          <w:rFonts w:ascii="Arial" w:eastAsia="Times New Roman" w:hAnsi="Arial" w:cs="Arial"/>
          <w:bCs/>
          <w:sz w:val="24"/>
          <w:szCs w:val="24"/>
          <w:lang w:eastAsia="pt-BR"/>
        </w:rPr>
        <w:t>mostrou a</w:t>
      </w:r>
      <w:r w:rsidR="00B53E1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utilização 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do</w:t>
      </w:r>
      <w:r w:rsidR="00B53E1F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 recursos do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Fundeb, de 95,48%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do total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Explicou que, 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acordo com 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 legislação, o município tem que investir no mínimo 70% desse recurso nos profissionais do magistério e não pode encerrar o exercício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 mais que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10% de saldo de caixa. No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quadro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seguinte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mostrou</w:t>
      </w:r>
      <w:r w:rsidR="008D5580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 aplicação em S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aúde, de 26,08% das Receitas de Impostos,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estando acima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obrigação </w:t>
      </w:r>
      <w:r w:rsidR="003A78F8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mínima 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15%, e </w:t>
      </w:r>
      <w:r w:rsidR="00991AF9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mencionou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91AF9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 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Despesas com Pessoal nos três quadrimestres de 2025, de 28,99%, 28,25% e 27,21%</w:t>
      </w:r>
      <w:r w:rsidR="00207B3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 Receita Corrente Líquida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EA059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destacando </w:t>
      </w:r>
      <w:r w:rsidR="00991AF9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que se encontram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abaixo do limite 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máximo </w:t>
      </w:r>
      <w:r w:rsidR="000815A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de 54%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do limite prudencial de 51,3%. Comentou que as Despesas com Pessoal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estão em um nível confortável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mas que o Tribunal de Contas tem pedido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que 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 custos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do quadro funcional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das 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rganizações 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ociais contratadas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6F5FD3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seja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="006F5FD3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incluído</w:t>
      </w:r>
      <w:r w:rsidR="006F5FD3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6F5FD3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nessa conta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  <w:r w:rsidR="00991AF9">
        <w:rPr>
          <w:rFonts w:ascii="Arial" w:eastAsia="Times New Roman" w:hAnsi="Arial" w:cs="Arial"/>
          <w:bCs/>
          <w:sz w:val="24"/>
          <w:szCs w:val="24"/>
          <w:lang w:eastAsia="pt-BR"/>
        </w:rPr>
        <w:t>Encerrada a apresentação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, disse que o resultado orçamentário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2025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foi bom, com um</w:t>
      </w:r>
      <w:r w:rsidR="009A4C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empenhamento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inferior às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Receitas, e que a Administração tem trabalhado para que as pastas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identifiquem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as reais necessidades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12018B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>e evitem</w:t>
      </w:r>
      <w:r w:rsidR="00EF1E8D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pedidos de suplementação sem a devida despesa correspondente. Disse também que</w:t>
      </w:r>
      <w:r w:rsidR="00C80FB2" w:rsidRPr="00991AF9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 </w:t>
      </w:r>
      <w:r w:rsidR="00C80FB2" w:rsidRPr="00991AF9">
        <w:rPr>
          <w:rFonts w:ascii="Arial" w:hAnsi="Arial" w:cs="Arial"/>
          <w:sz w:val="24"/>
          <w:szCs w:val="24"/>
        </w:rPr>
        <w:t xml:space="preserve">ações previstas no </w:t>
      </w:r>
      <w:r w:rsidR="007C2A23">
        <w:rPr>
          <w:rFonts w:ascii="Arial" w:hAnsi="Arial" w:cs="Arial"/>
          <w:sz w:val="24"/>
          <w:szCs w:val="24"/>
        </w:rPr>
        <w:t>P</w:t>
      </w:r>
      <w:r w:rsidR="00C80FB2" w:rsidRPr="00991AF9">
        <w:rPr>
          <w:rFonts w:ascii="Arial" w:hAnsi="Arial" w:cs="Arial"/>
          <w:sz w:val="24"/>
          <w:szCs w:val="24"/>
        </w:rPr>
        <w:t xml:space="preserve">lano de </w:t>
      </w:r>
      <w:r w:rsidR="007C2A23">
        <w:rPr>
          <w:rFonts w:ascii="Arial" w:hAnsi="Arial" w:cs="Arial"/>
          <w:sz w:val="24"/>
          <w:szCs w:val="24"/>
        </w:rPr>
        <w:t>G</w:t>
      </w:r>
      <w:r w:rsidR="00C80FB2" w:rsidRPr="00991AF9">
        <w:rPr>
          <w:rFonts w:ascii="Arial" w:hAnsi="Arial" w:cs="Arial"/>
          <w:sz w:val="24"/>
          <w:szCs w:val="24"/>
        </w:rPr>
        <w:t xml:space="preserve">overno apresentam elevado nível de detalhamento, o que pode </w:t>
      </w:r>
      <w:r w:rsidR="00B53E1F" w:rsidRPr="00991AF9">
        <w:rPr>
          <w:rFonts w:ascii="Arial" w:hAnsi="Arial" w:cs="Arial"/>
          <w:sz w:val="24"/>
          <w:szCs w:val="24"/>
        </w:rPr>
        <w:t>levar a</w:t>
      </w:r>
      <w:r w:rsidR="00C80FB2" w:rsidRPr="00991AF9">
        <w:rPr>
          <w:rFonts w:ascii="Arial" w:hAnsi="Arial" w:cs="Arial"/>
          <w:sz w:val="24"/>
          <w:szCs w:val="24"/>
        </w:rPr>
        <w:t xml:space="preserve"> suplementações que poderiam ser evitadas. Ressaltou que essa prática não é </w:t>
      </w:r>
      <w:r w:rsidR="00991AF9" w:rsidRPr="00991AF9">
        <w:rPr>
          <w:rFonts w:ascii="Arial" w:hAnsi="Arial" w:cs="Arial"/>
          <w:sz w:val="24"/>
          <w:szCs w:val="24"/>
        </w:rPr>
        <w:t>errada</w:t>
      </w:r>
      <w:r w:rsidR="00C80FB2" w:rsidRPr="00991AF9">
        <w:rPr>
          <w:rFonts w:ascii="Arial" w:hAnsi="Arial" w:cs="Arial"/>
          <w:sz w:val="24"/>
          <w:szCs w:val="24"/>
        </w:rPr>
        <w:t xml:space="preserve">, porém não representa a melhor técnica orçamentária, </w:t>
      </w:r>
      <w:r w:rsidR="00991AF9">
        <w:rPr>
          <w:rFonts w:ascii="Arial" w:hAnsi="Arial" w:cs="Arial"/>
          <w:sz w:val="24"/>
          <w:szCs w:val="24"/>
        </w:rPr>
        <w:t>e defendeu um</w:t>
      </w:r>
      <w:r w:rsidR="00C80FB2" w:rsidRPr="00991AF9">
        <w:rPr>
          <w:rFonts w:ascii="Arial" w:hAnsi="Arial" w:cs="Arial"/>
          <w:sz w:val="24"/>
          <w:szCs w:val="24"/>
        </w:rPr>
        <w:t xml:space="preserve"> </w:t>
      </w:r>
      <w:r w:rsidR="00C80FB2" w:rsidRPr="00222A1B">
        <w:rPr>
          <w:rFonts w:ascii="Arial" w:hAnsi="Arial" w:cs="Arial"/>
          <w:sz w:val="24"/>
          <w:szCs w:val="24"/>
        </w:rPr>
        <w:t>orçamento</w:t>
      </w:r>
      <w:r w:rsidR="00991AF9" w:rsidRPr="00222A1B">
        <w:rPr>
          <w:rFonts w:ascii="Arial" w:hAnsi="Arial" w:cs="Arial"/>
          <w:sz w:val="24"/>
          <w:szCs w:val="24"/>
        </w:rPr>
        <w:t xml:space="preserve"> </w:t>
      </w:r>
      <w:r w:rsidR="00C80FB2" w:rsidRPr="00222A1B">
        <w:rPr>
          <w:rFonts w:ascii="Arial" w:hAnsi="Arial" w:cs="Arial"/>
          <w:sz w:val="24"/>
          <w:szCs w:val="24"/>
        </w:rPr>
        <w:t xml:space="preserve">mais flexível. </w:t>
      </w:r>
      <w:r w:rsidR="00991AF9" w:rsidRPr="00222A1B">
        <w:rPr>
          <w:rFonts w:ascii="Arial" w:hAnsi="Arial" w:cs="Arial"/>
          <w:sz w:val="24"/>
          <w:szCs w:val="24"/>
        </w:rPr>
        <w:t>Para encerrar, disse</w:t>
      </w:r>
      <w:r w:rsidR="00C80FB2" w:rsidRPr="00222A1B">
        <w:rPr>
          <w:rFonts w:ascii="Arial" w:hAnsi="Arial" w:cs="Arial"/>
          <w:sz w:val="24"/>
          <w:szCs w:val="24"/>
        </w:rPr>
        <w:t xml:space="preserve"> que</w:t>
      </w:r>
      <w:r w:rsidR="00991AF9" w:rsidRPr="00222A1B">
        <w:rPr>
          <w:rFonts w:ascii="Arial" w:hAnsi="Arial" w:cs="Arial"/>
          <w:sz w:val="24"/>
          <w:szCs w:val="24"/>
        </w:rPr>
        <w:t xml:space="preserve"> a Prefeitura possui um</w:t>
      </w:r>
      <w:r w:rsidR="00C80FB2" w:rsidRPr="00222A1B">
        <w:rPr>
          <w:rFonts w:ascii="Arial" w:hAnsi="Arial" w:cs="Arial"/>
          <w:sz w:val="24"/>
          <w:szCs w:val="24"/>
        </w:rPr>
        <w:t xml:space="preserve"> detalhamento que permite identificar onde cada centavo foi aplicado, seja no global, por </w:t>
      </w:r>
      <w:r w:rsidR="007C2A23">
        <w:rPr>
          <w:rFonts w:ascii="Arial" w:hAnsi="Arial" w:cs="Arial"/>
          <w:sz w:val="24"/>
          <w:szCs w:val="24"/>
        </w:rPr>
        <w:t>S</w:t>
      </w:r>
      <w:r w:rsidR="00C80FB2" w:rsidRPr="00222A1B">
        <w:rPr>
          <w:rFonts w:ascii="Arial" w:hAnsi="Arial" w:cs="Arial"/>
          <w:sz w:val="24"/>
          <w:szCs w:val="24"/>
        </w:rPr>
        <w:t xml:space="preserve">ecretaria ou por </w:t>
      </w:r>
      <w:r w:rsidR="007C2A23">
        <w:rPr>
          <w:rFonts w:ascii="Arial" w:hAnsi="Arial" w:cs="Arial"/>
          <w:sz w:val="24"/>
          <w:szCs w:val="24"/>
        </w:rPr>
        <w:t>A</w:t>
      </w:r>
      <w:r w:rsidR="00C80FB2" w:rsidRPr="00222A1B">
        <w:rPr>
          <w:rFonts w:ascii="Arial" w:hAnsi="Arial" w:cs="Arial"/>
          <w:sz w:val="24"/>
          <w:szCs w:val="24"/>
        </w:rPr>
        <w:t xml:space="preserve">ção de </w:t>
      </w:r>
      <w:r w:rsidR="007C2A23">
        <w:rPr>
          <w:rFonts w:ascii="Arial" w:hAnsi="Arial" w:cs="Arial"/>
          <w:sz w:val="24"/>
          <w:szCs w:val="24"/>
        </w:rPr>
        <w:t>G</w:t>
      </w:r>
      <w:r w:rsidR="00C80FB2" w:rsidRPr="00222A1B">
        <w:rPr>
          <w:rFonts w:ascii="Arial" w:hAnsi="Arial" w:cs="Arial"/>
          <w:sz w:val="24"/>
          <w:szCs w:val="24"/>
        </w:rPr>
        <w:t>overno</w:t>
      </w:r>
      <w:r w:rsidR="00991AF9" w:rsidRPr="00222A1B">
        <w:rPr>
          <w:rFonts w:ascii="Arial" w:hAnsi="Arial" w:cs="Arial"/>
          <w:sz w:val="24"/>
          <w:szCs w:val="24"/>
        </w:rPr>
        <w:t xml:space="preserve">, e </w:t>
      </w:r>
      <w:r w:rsidR="00C80FB2" w:rsidRPr="00222A1B">
        <w:rPr>
          <w:rFonts w:ascii="Arial" w:hAnsi="Arial" w:cs="Arial"/>
          <w:sz w:val="24"/>
          <w:szCs w:val="24"/>
        </w:rPr>
        <w:t>que a apresentação foi sintética, mas que o balanço completo possui mais ou menos quinhentas páginas. O Presidente</w:t>
      </w:r>
      <w:r w:rsidR="007C2A23">
        <w:rPr>
          <w:rFonts w:ascii="Arial" w:hAnsi="Arial" w:cs="Arial"/>
          <w:sz w:val="24"/>
          <w:szCs w:val="24"/>
        </w:rPr>
        <w:t xml:space="preserve"> da audiência, vereador</w:t>
      </w:r>
      <w:r w:rsidR="00C80FB2" w:rsidRPr="00222A1B">
        <w:rPr>
          <w:rFonts w:ascii="Arial" w:hAnsi="Arial" w:cs="Arial"/>
          <w:sz w:val="24"/>
          <w:szCs w:val="24"/>
        </w:rPr>
        <w:t xml:space="preserve"> </w:t>
      </w:r>
      <w:r w:rsidR="00C80FB2" w:rsidRPr="00222A1B">
        <w:rPr>
          <w:rFonts w:ascii="Arial" w:hAnsi="Arial" w:cs="Arial"/>
          <w:b/>
          <w:sz w:val="24"/>
          <w:szCs w:val="24"/>
        </w:rPr>
        <w:t>Sidine</w:t>
      </w:r>
      <w:r w:rsidR="007C2A23">
        <w:rPr>
          <w:rFonts w:ascii="Arial" w:hAnsi="Arial" w:cs="Arial"/>
          <w:b/>
          <w:sz w:val="24"/>
          <w:szCs w:val="24"/>
        </w:rPr>
        <w:t>y Guedes</w:t>
      </w:r>
      <w:r w:rsidR="00C80FB2" w:rsidRPr="00222A1B">
        <w:rPr>
          <w:rFonts w:ascii="Arial" w:hAnsi="Arial" w:cs="Arial"/>
          <w:b/>
          <w:sz w:val="24"/>
          <w:szCs w:val="24"/>
        </w:rPr>
        <w:t xml:space="preserve"> </w:t>
      </w:r>
      <w:r w:rsidR="00C80FB2" w:rsidRPr="00222A1B">
        <w:rPr>
          <w:rFonts w:ascii="Arial" w:hAnsi="Arial" w:cs="Arial"/>
          <w:sz w:val="24"/>
          <w:szCs w:val="24"/>
        </w:rPr>
        <w:t>agradeceu</w:t>
      </w:r>
      <w:r w:rsidR="00D10778" w:rsidRPr="00222A1B">
        <w:rPr>
          <w:rFonts w:ascii="Arial" w:hAnsi="Arial" w:cs="Arial"/>
          <w:sz w:val="24"/>
          <w:szCs w:val="24"/>
        </w:rPr>
        <w:t xml:space="preserve">, </w:t>
      </w:r>
      <w:r w:rsidR="00C80FB2" w:rsidRPr="00222A1B">
        <w:rPr>
          <w:rFonts w:ascii="Arial" w:hAnsi="Arial" w:cs="Arial"/>
          <w:sz w:val="24"/>
          <w:szCs w:val="24"/>
        </w:rPr>
        <w:t>ressaltando a importância d</w:t>
      </w:r>
      <w:r w:rsidR="00D10778" w:rsidRPr="00222A1B">
        <w:rPr>
          <w:rFonts w:ascii="Arial" w:hAnsi="Arial" w:cs="Arial"/>
          <w:sz w:val="24"/>
          <w:szCs w:val="24"/>
        </w:rPr>
        <w:t>a</w:t>
      </w:r>
      <w:r w:rsidR="00C80FB2" w:rsidRPr="00222A1B">
        <w:rPr>
          <w:rFonts w:ascii="Arial" w:hAnsi="Arial" w:cs="Arial"/>
          <w:sz w:val="24"/>
          <w:szCs w:val="24"/>
        </w:rPr>
        <w:t xml:space="preserve"> explanação</w:t>
      </w:r>
      <w:r w:rsidR="00D10778" w:rsidRPr="00222A1B">
        <w:rPr>
          <w:rFonts w:ascii="Arial" w:hAnsi="Arial" w:cs="Arial"/>
          <w:sz w:val="24"/>
          <w:szCs w:val="24"/>
        </w:rPr>
        <w:t>, e i</w:t>
      </w:r>
      <w:r w:rsidR="00C80FB2" w:rsidRPr="00222A1B">
        <w:rPr>
          <w:rFonts w:ascii="Arial" w:hAnsi="Arial" w:cs="Arial"/>
          <w:sz w:val="24"/>
          <w:szCs w:val="24"/>
        </w:rPr>
        <w:t>nformou que não foram encaminhadas pergu</w:t>
      </w:r>
      <w:r w:rsidR="00D10778" w:rsidRPr="00222A1B">
        <w:rPr>
          <w:rFonts w:ascii="Arial" w:hAnsi="Arial" w:cs="Arial"/>
          <w:sz w:val="24"/>
          <w:szCs w:val="24"/>
        </w:rPr>
        <w:t xml:space="preserve">ntas por meio das redes sociais. </w:t>
      </w:r>
      <w:r w:rsidR="00222A1B" w:rsidRPr="00222A1B">
        <w:rPr>
          <w:rFonts w:ascii="Arial" w:hAnsi="Arial" w:cs="Arial"/>
          <w:sz w:val="24"/>
          <w:szCs w:val="24"/>
        </w:rPr>
        <w:t xml:space="preserve">Acrescentou </w:t>
      </w:r>
      <w:r w:rsidR="00C80FB2" w:rsidRPr="00222A1B">
        <w:rPr>
          <w:rFonts w:ascii="Arial" w:hAnsi="Arial" w:cs="Arial"/>
          <w:sz w:val="24"/>
          <w:szCs w:val="24"/>
        </w:rPr>
        <w:t xml:space="preserve">que as metas relacionadas à </w:t>
      </w:r>
      <w:r w:rsidR="00222A1B" w:rsidRPr="00222A1B">
        <w:rPr>
          <w:rFonts w:ascii="Arial" w:hAnsi="Arial" w:cs="Arial"/>
          <w:sz w:val="24"/>
          <w:szCs w:val="24"/>
        </w:rPr>
        <w:t>Educação e à Saúde, bem como as Despesas com P</w:t>
      </w:r>
      <w:r w:rsidR="00C80FB2" w:rsidRPr="00222A1B">
        <w:rPr>
          <w:rFonts w:ascii="Arial" w:hAnsi="Arial" w:cs="Arial"/>
          <w:sz w:val="24"/>
          <w:szCs w:val="24"/>
        </w:rPr>
        <w:t>essoal, encontram-se em conformidade</w:t>
      </w:r>
      <w:r w:rsidR="00D10778" w:rsidRPr="00222A1B">
        <w:rPr>
          <w:rFonts w:ascii="Arial" w:hAnsi="Arial" w:cs="Arial"/>
          <w:sz w:val="24"/>
          <w:szCs w:val="24"/>
        </w:rPr>
        <w:t xml:space="preserve"> e</w:t>
      </w:r>
      <w:r w:rsidR="00C80FB2" w:rsidRPr="00222A1B">
        <w:rPr>
          <w:rFonts w:ascii="Arial" w:hAnsi="Arial" w:cs="Arial"/>
          <w:sz w:val="24"/>
          <w:szCs w:val="24"/>
        </w:rPr>
        <w:t xml:space="preserve"> solicitou que a ata da </w:t>
      </w:r>
      <w:r w:rsidR="00D10778" w:rsidRPr="00222A1B">
        <w:rPr>
          <w:rFonts w:ascii="Arial" w:hAnsi="Arial" w:cs="Arial"/>
          <w:sz w:val="24"/>
          <w:szCs w:val="24"/>
        </w:rPr>
        <w:t>audiência</w:t>
      </w:r>
      <w:r w:rsidR="00C80FB2" w:rsidRPr="00222A1B">
        <w:rPr>
          <w:rFonts w:ascii="Arial" w:hAnsi="Arial" w:cs="Arial"/>
          <w:sz w:val="24"/>
          <w:szCs w:val="24"/>
        </w:rPr>
        <w:t xml:space="preserve"> fosse encaminhada</w:t>
      </w:r>
      <w:r w:rsidR="00D10778" w:rsidRPr="00222A1B">
        <w:rPr>
          <w:rFonts w:ascii="Arial" w:hAnsi="Arial" w:cs="Arial"/>
          <w:sz w:val="24"/>
          <w:szCs w:val="24"/>
        </w:rPr>
        <w:t xml:space="preserve"> posteriormente à Secretaria Municipal de Finanças.</w:t>
      </w:r>
      <w:r w:rsidR="00D10778" w:rsidRPr="00222A1B">
        <w:t xml:space="preserve"> </w:t>
      </w:r>
      <w:r w:rsidR="00764054" w:rsidRPr="00222A1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Nada mais tendo sido tratado, os trabalhos foram encerrados às 18h41. </w:t>
      </w:r>
      <w:r w:rsidRPr="00222A1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De tudo o que houve, eu, Glaucia Mariana </w:t>
      </w:r>
      <w:proofErr w:type="spellStart"/>
      <w:r w:rsidRPr="00222A1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Cesila</w:t>
      </w:r>
      <w:proofErr w:type="spellEnd"/>
      <w:r w:rsidRPr="00222A1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Ferreira, Assistente de Gestão Legislativa,</w:t>
      </w:r>
      <w:r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 xml:space="preserve"> lavrei a presente ata, revisada por Erika Regina </w:t>
      </w:r>
      <w:proofErr w:type="spellStart"/>
      <w:r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Leonetti</w:t>
      </w:r>
      <w:proofErr w:type="spellEnd"/>
      <w:r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 xml:space="preserve">, Especialista em Gestão Legislativa, que, lida e considerada conforme, é assinada pelo vereador que presidiu os trabalhos. Os pronunciamentos constam, na íntegra, dos serviços de gravação da Câmara Municipal, como arquivo permanente. Casa do Poder Legislativo, </w:t>
      </w:r>
      <w:r w:rsidR="00D1077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27</w:t>
      </w:r>
      <w:r w:rsidR="00C56DC6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 xml:space="preserve"> de </w:t>
      </w:r>
      <w:r w:rsidR="00D10778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fevereiro</w:t>
      </w:r>
      <w:r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 xml:space="preserve"> de 202</w:t>
      </w:r>
      <w:r w:rsidR="00E36C7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6</w:t>
      </w:r>
      <w:r w:rsidRPr="006A39B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.</w:t>
      </w:r>
    </w:p>
    <w:p w14:paraId="54FA0F90" w14:textId="77777777" w:rsidR="00222A1B" w:rsidRDefault="00222A1B" w:rsidP="008330D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</w:pPr>
    </w:p>
    <w:p w14:paraId="0CB51341" w14:textId="77777777" w:rsidR="00833C94" w:rsidRDefault="00833C94" w:rsidP="008330D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</w:pPr>
    </w:p>
    <w:p w14:paraId="19B064C1" w14:textId="77777777" w:rsidR="00833C94" w:rsidRDefault="00833C94" w:rsidP="008330D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</w:pPr>
    </w:p>
    <w:p w14:paraId="1833E5A6" w14:textId="77777777" w:rsidR="008330DF" w:rsidRPr="006A39B0" w:rsidRDefault="001A0728" w:rsidP="008330DF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pt-BR"/>
        </w:rPr>
        <w:t>SIDINEY GUEDES</w:t>
      </w:r>
    </w:p>
    <w:p w14:paraId="19FDDF15" w14:textId="77777777" w:rsidR="00435FA3" w:rsidRPr="00222A1B" w:rsidRDefault="001A0728" w:rsidP="00222A1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A39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Vereador e</w:t>
      </w:r>
      <w:r w:rsidR="00222A1B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Presidente da Audiência Pública</w:t>
      </w:r>
    </w:p>
    <w:sectPr w:rsidR="00435FA3" w:rsidRPr="00222A1B" w:rsidSect="004700A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416" w:bottom="1134" w:left="1418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7312" w14:textId="77777777" w:rsidR="00B66CA5" w:rsidRDefault="00B66CA5">
      <w:pPr>
        <w:spacing w:after="0" w:line="240" w:lineRule="auto"/>
      </w:pPr>
      <w:r>
        <w:separator/>
      </w:r>
    </w:p>
  </w:endnote>
  <w:endnote w:type="continuationSeparator" w:id="0">
    <w:p w14:paraId="605F0CC6" w14:textId="77777777" w:rsidR="00B66CA5" w:rsidRDefault="00B6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BEB0" w14:textId="2F633A01" w:rsidR="00222A1B" w:rsidRPr="00222A1B" w:rsidRDefault="001A0728" w:rsidP="00833C94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222A1B">
      <w:rPr>
        <w:rFonts w:ascii="Arial" w:hAnsi="Arial" w:cs="Arial"/>
        <w:sz w:val="16"/>
        <w:szCs w:val="16"/>
      </w:rPr>
      <w:t xml:space="preserve">ATA DA </w:t>
    </w:r>
    <w:r w:rsidR="00833C94">
      <w:rPr>
        <w:rFonts w:ascii="Arial" w:hAnsi="Arial" w:cs="Arial"/>
        <w:sz w:val="16"/>
        <w:szCs w:val="16"/>
      </w:rPr>
      <w:t>3</w:t>
    </w:r>
    <w:r w:rsidRPr="00222A1B">
      <w:rPr>
        <w:rFonts w:ascii="Arial" w:hAnsi="Arial" w:cs="Arial"/>
        <w:sz w:val="16"/>
        <w:szCs w:val="16"/>
      </w:rPr>
      <w:t>ª AUDIÊNCIA PÚBLICA DO EXERCÍCIO DE 2026</w:t>
    </w:r>
  </w:p>
  <w:p w14:paraId="039B4DA4" w14:textId="77777777" w:rsidR="00222A1B" w:rsidRPr="00222A1B" w:rsidRDefault="001A0728" w:rsidP="00222A1B">
    <w:pPr>
      <w:pStyle w:val="Rodap"/>
      <w:jc w:val="center"/>
      <w:rPr>
        <w:rFonts w:ascii="Arial" w:hAnsi="Arial" w:cs="Arial"/>
        <w:sz w:val="16"/>
        <w:szCs w:val="16"/>
      </w:rPr>
    </w:pPr>
    <w:r w:rsidRPr="00222A1B">
      <w:rPr>
        <w:rFonts w:ascii="Arial" w:hAnsi="Arial" w:cs="Arial"/>
        <w:sz w:val="16"/>
        <w:szCs w:val="16"/>
      </w:rPr>
      <w:fldChar w:fldCharType="begin"/>
    </w:r>
    <w:r w:rsidRPr="00222A1B">
      <w:rPr>
        <w:rFonts w:ascii="Arial" w:hAnsi="Arial" w:cs="Arial"/>
        <w:sz w:val="16"/>
        <w:szCs w:val="16"/>
      </w:rPr>
      <w:instrText xml:space="preserve">  \* MERGEFORMAT </w:instrText>
    </w:r>
    <w:r w:rsidRPr="00222A1B">
      <w:rPr>
        <w:rFonts w:ascii="Arial" w:hAnsi="Arial" w:cs="Arial"/>
        <w:sz w:val="16"/>
        <w:szCs w:val="16"/>
      </w:rPr>
      <w:fldChar w:fldCharType="end"/>
    </w:r>
    <w:r w:rsidRPr="00222A1B">
      <w:rPr>
        <w:rFonts w:ascii="Arial" w:hAnsi="Arial" w:cs="Arial"/>
        <w:sz w:val="16"/>
        <w:szCs w:val="16"/>
      </w:rPr>
      <w:fldChar w:fldCharType="begin"/>
    </w:r>
    <w:r w:rsidRPr="00222A1B">
      <w:rPr>
        <w:rFonts w:ascii="Arial" w:hAnsi="Arial" w:cs="Arial"/>
        <w:sz w:val="16"/>
        <w:szCs w:val="16"/>
      </w:rPr>
      <w:instrText>PAGE   \* MERGEFORMAT</w:instrText>
    </w:r>
    <w:r w:rsidRPr="00222A1B">
      <w:rPr>
        <w:rFonts w:ascii="Arial" w:hAnsi="Arial" w:cs="Arial"/>
        <w:sz w:val="16"/>
        <w:szCs w:val="16"/>
      </w:rPr>
      <w:fldChar w:fldCharType="separate"/>
    </w:r>
    <w:r w:rsidR="00271D9B">
      <w:rPr>
        <w:rFonts w:ascii="Arial" w:hAnsi="Arial" w:cs="Arial"/>
        <w:noProof/>
        <w:sz w:val="16"/>
        <w:szCs w:val="16"/>
      </w:rPr>
      <w:t>1</w:t>
    </w:r>
    <w:r w:rsidRPr="00222A1B">
      <w:rPr>
        <w:rFonts w:ascii="Arial" w:hAnsi="Arial" w:cs="Arial"/>
        <w:sz w:val="16"/>
        <w:szCs w:val="16"/>
      </w:rPr>
      <w:fldChar w:fldCharType="end"/>
    </w:r>
  </w:p>
  <w:p w14:paraId="77FE4F09" w14:textId="77777777" w:rsidR="00222A1B" w:rsidRDefault="00222A1B" w:rsidP="00222A1B">
    <w:pPr>
      <w:pStyle w:val="Rodap"/>
    </w:pPr>
  </w:p>
  <w:p w14:paraId="722B10E4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064049"/>
      <w:docPartObj>
        <w:docPartGallery w:val="Page Numbers (Bottom of Page)"/>
        <w:docPartUnique/>
      </w:docPartObj>
    </w:sdtPr>
    <w:sdtContent>
      <w:p w14:paraId="4711B96C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2CB3" w14:textId="77777777" w:rsidR="00B66CA5" w:rsidRDefault="00B66CA5">
      <w:pPr>
        <w:spacing w:after="0" w:line="240" w:lineRule="auto"/>
      </w:pPr>
      <w:r>
        <w:separator/>
      </w:r>
    </w:p>
  </w:footnote>
  <w:footnote w:type="continuationSeparator" w:id="0">
    <w:p w14:paraId="694C216C" w14:textId="77777777" w:rsidR="00B66CA5" w:rsidRDefault="00B66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E218" w14:textId="7C53556A" w:rsidR="00DC6405" w:rsidRPr="007D3EB4" w:rsidRDefault="001A0728" w:rsidP="007D3EB4">
    <w:pPr>
      <w:pStyle w:val="Cabealho"/>
      <w:tabs>
        <w:tab w:val="clear" w:pos="8504"/>
        <w:tab w:val="right" w:pos="8222"/>
      </w:tabs>
      <w:spacing w:before="360" w:after="360"/>
      <w:ind w:right="-285"/>
      <w:rPr>
        <w:sz w:val="32"/>
        <w:szCs w:val="32"/>
      </w:rPr>
    </w:pPr>
    <w:r w:rsidRPr="007D3EB4"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0" allowOverlap="1" wp14:anchorId="2F9EFF61" wp14:editId="13FA170F">
          <wp:simplePos x="0" y="0"/>
          <wp:positionH relativeFrom="column">
            <wp:posOffset>-287020</wp:posOffset>
          </wp:positionH>
          <wp:positionV relativeFrom="paragraph">
            <wp:posOffset>187960</wp:posOffset>
          </wp:positionV>
          <wp:extent cx="627380" cy="802005"/>
          <wp:effectExtent l="0" t="0" r="1270" b="0"/>
          <wp:wrapSquare wrapText="largest"/>
          <wp:docPr id="62402619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D3EB4">
      <w:rPr>
        <w:b/>
        <w:bCs/>
        <w:sz w:val="32"/>
        <w:szCs w:val="32"/>
      </w:rPr>
      <w:t xml:space="preserve">        </w:t>
    </w:r>
    <w:r w:rsidR="00E95169" w:rsidRPr="007D3EB4">
      <w:rPr>
        <w:b/>
        <w:bCs/>
        <w:sz w:val="32"/>
        <w:szCs w:val="32"/>
      </w:rPr>
      <w:t>CÂMARA MUNICIPAL DA ESTÂNCIA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D43E" w14:textId="77777777" w:rsidR="00DC6405" w:rsidRDefault="001A0728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0C049C7C" wp14:editId="27F3F281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199004577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05"/>
    <w:rsid w:val="00037CEE"/>
    <w:rsid w:val="00037E78"/>
    <w:rsid w:val="00054DE7"/>
    <w:rsid w:val="0006598F"/>
    <w:rsid w:val="0007262A"/>
    <w:rsid w:val="000815AD"/>
    <w:rsid w:val="000A0990"/>
    <w:rsid w:val="000B0BC8"/>
    <w:rsid w:val="000D65D1"/>
    <w:rsid w:val="000E7FB4"/>
    <w:rsid w:val="00103989"/>
    <w:rsid w:val="00112618"/>
    <w:rsid w:val="0012018B"/>
    <w:rsid w:val="001221B5"/>
    <w:rsid w:val="001A0728"/>
    <w:rsid w:val="001B0D7A"/>
    <w:rsid w:val="001E591C"/>
    <w:rsid w:val="00207B3A"/>
    <w:rsid w:val="00210C97"/>
    <w:rsid w:val="00222A1B"/>
    <w:rsid w:val="00233A20"/>
    <w:rsid w:val="00241377"/>
    <w:rsid w:val="002610F6"/>
    <w:rsid w:val="00271D9B"/>
    <w:rsid w:val="00303D46"/>
    <w:rsid w:val="00310EB4"/>
    <w:rsid w:val="00330BD6"/>
    <w:rsid w:val="00361818"/>
    <w:rsid w:val="00365192"/>
    <w:rsid w:val="003708D1"/>
    <w:rsid w:val="003857F4"/>
    <w:rsid w:val="00392FD6"/>
    <w:rsid w:val="003A4BCD"/>
    <w:rsid w:val="003A78F8"/>
    <w:rsid w:val="003D3179"/>
    <w:rsid w:val="003E6AE0"/>
    <w:rsid w:val="003F4066"/>
    <w:rsid w:val="00404A5D"/>
    <w:rsid w:val="00414928"/>
    <w:rsid w:val="00435FA3"/>
    <w:rsid w:val="004700AF"/>
    <w:rsid w:val="00475682"/>
    <w:rsid w:val="00491099"/>
    <w:rsid w:val="0051129F"/>
    <w:rsid w:val="00544669"/>
    <w:rsid w:val="005579C0"/>
    <w:rsid w:val="005879F2"/>
    <w:rsid w:val="005963D5"/>
    <w:rsid w:val="005F4263"/>
    <w:rsid w:val="006207F8"/>
    <w:rsid w:val="00632292"/>
    <w:rsid w:val="006A39B0"/>
    <w:rsid w:val="006C6251"/>
    <w:rsid w:val="006C6F6C"/>
    <w:rsid w:val="006F5FD3"/>
    <w:rsid w:val="00741F63"/>
    <w:rsid w:val="00742FFE"/>
    <w:rsid w:val="007504D3"/>
    <w:rsid w:val="00750BD0"/>
    <w:rsid w:val="00764054"/>
    <w:rsid w:val="00764C78"/>
    <w:rsid w:val="0078068E"/>
    <w:rsid w:val="0078084A"/>
    <w:rsid w:val="007900DA"/>
    <w:rsid w:val="007B4422"/>
    <w:rsid w:val="007C2A23"/>
    <w:rsid w:val="007C5AEF"/>
    <w:rsid w:val="007D3EB4"/>
    <w:rsid w:val="0080215E"/>
    <w:rsid w:val="0080418D"/>
    <w:rsid w:val="00817F4D"/>
    <w:rsid w:val="008330DF"/>
    <w:rsid w:val="00833C94"/>
    <w:rsid w:val="00856CD0"/>
    <w:rsid w:val="008857D2"/>
    <w:rsid w:val="00893232"/>
    <w:rsid w:val="008C52F5"/>
    <w:rsid w:val="008D5580"/>
    <w:rsid w:val="009000FD"/>
    <w:rsid w:val="009906FD"/>
    <w:rsid w:val="00991AF9"/>
    <w:rsid w:val="009A4CDA"/>
    <w:rsid w:val="009B5C3D"/>
    <w:rsid w:val="009C12AE"/>
    <w:rsid w:val="009F0C9B"/>
    <w:rsid w:val="009F6C27"/>
    <w:rsid w:val="00A1241B"/>
    <w:rsid w:val="00A20174"/>
    <w:rsid w:val="00A24A0C"/>
    <w:rsid w:val="00AC46C9"/>
    <w:rsid w:val="00B25C73"/>
    <w:rsid w:val="00B4089B"/>
    <w:rsid w:val="00B53E1F"/>
    <w:rsid w:val="00B66CA5"/>
    <w:rsid w:val="00B87EFF"/>
    <w:rsid w:val="00BA7B74"/>
    <w:rsid w:val="00BD7ABB"/>
    <w:rsid w:val="00BE0F5C"/>
    <w:rsid w:val="00BF0527"/>
    <w:rsid w:val="00C10BDB"/>
    <w:rsid w:val="00C45968"/>
    <w:rsid w:val="00C56DC6"/>
    <w:rsid w:val="00C70350"/>
    <w:rsid w:val="00C80FB2"/>
    <w:rsid w:val="00CA42FB"/>
    <w:rsid w:val="00CA6A75"/>
    <w:rsid w:val="00CC06EF"/>
    <w:rsid w:val="00D10778"/>
    <w:rsid w:val="00D30D92"/>
    <w:rsid w:val="00D42273"/>
    <w:rsid w:val="00D460A7"/>
    <w:rsid w:val="00D90091"/>
    <w:rsid w:val="00DC63C2"/>
    <w:rsid w:val="00DC6405"/>
    <w:rsid w:val="00E010B7"/>
    <w:rsid w:val="00E304A0"/>
    <w:rsid w:val="00E36C71"/>
    <w:rsid w:val="00E95169"/>
    <w:rsid w:val="00EA0598"/>
    <w:rsid w:val="00EB1BAD"/>
    <w:rsid w:val="00EF1E8D"/>
    <w:rsid w:val="00F109FE"/>
    <w:rsid w:val="00F551F4"/>
    <w:rsid w:val="00F646F0"/>
    <w:rsid w:val="00F913E7"/>
    <w:rsid w:val="00F9353D"/>
    <w:rsid w:val="00FD0239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5695C"/>
  <w15:docId w15:val="{6F45841A-1B00-4893-9245-8BEDE4A3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E0"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3E6AE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3E6AE0"/>
    <w:pPr>
      <w:spacing w:after="140" w:line="276" w:lineRule="auto"/>
    </w:pPr>
  </w:style>
  <w:style w:type="paragraph" w:styleId="Lista">
    <w:name w:val="List"/>
    <w:basedOn w:val="Corpodetexto"/>
    <w:rsid w:val="003E6AE0"/>
    <w:rPr>
      <w:rFonts w:cs="Lucida Sans"/>
    </w:rPr>
  </w:style>
  <w:style w:type="paragraph" w:styleId="Legenda">
    <w:name w:val="caption"/>
    <w:basedOn w:val="Normal"/>
    <w:qFormat/>
    <w:rsid w:val="003E6AE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6AE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3E6AE0"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1671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5</cp:revision>
  <dcterms:created xsi:type="dcterms:W3CDTF">2026-03-11T10:44:00Z</dcterms:created>
  <dcterms:modified xsi:type="dcterms:W3CDTF">2026-03-11T10:58:00Z</dcterms:modified>
  <dc:language>pt-BR</dc:language>
</cp:coreProperties>
</file>