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67554" w14:textId="23AEE45A" w:rsidR="00830E83" w:rsidRDefault="00000000" w:rsidP="00830E83">
      <w:pPr>
        <w:spacing w:line="276" w:lineRule="auto"/>
        <w:ind w:left="2268" w:right="33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PROJETO DE LEI COMPLEMENTAR Nº  </w:t>
      </w:r>
      <w:r w:rsidR="00BF6001">
        <w:rPr>
          <w:rFonts w:ascii="Arial" w:hAnsi="Arial" w:cs="Arial"/>
          <w:b/>
          <w:bCs/>
          <w:sz w:val="22"/>
          <w:szCs w:val="22"/>
        </w:rPr>
        <w:t xml:space="preserve">6 </w:t>
      </w:r>
      <w:r>
        <w:rPr>
          <w:rFonts w:ascii="Arial" w:hAnsi="Arial" w:cs="Arial"/>
          <w:b/>
          <w:bCs/>
          <w:sz w:val="22"/>
          <w:szCs w:val="22"/>
        </w:rPr>
        <w:t>DE</w:t>
      </w:r>
      <w:r w:rsidR="00BF6001">
        <w:rPr>
          <w:rFonts w:ascii="Arial" w:hAnsi="Arial" w:cs="Arial"/>
          <w:b/>
          <w:bCs/>
          <w:sz w:val="22"/>
          <w:szCs w:val="22"/>
        </w:rPr>
        <w:t xml:space="preserve"> 2026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52FE0B9" w14:textId="77777777" w:rsidR="00830E83" w:rsidRDefault="00830E83" w:rsidP="00830E83">
      <w:pPr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</w:p>
    <w:p w14:paraId="08CCDE72" w14:textId="60E8BB56" w:rsidR="00830E83" w:rsidRDefault="00000000" w:rsidP="00830E83">
      <w:pPr>
        <w:spacing w:line="360" w:lineRule="auto"/>
        <w:ind w:left="2268" w:right="33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AUTORIZA O PODER EXECUTIVO MUNICIPAL A CONTRATAR OPERAÇÃO DE CRÉDITO JUNTO AO BANCO NACIONAL DE DESENVOLVIMENTO (BNDES), E DÁ OUTRAS PROVIDÊNCIAS.</w:t>
      </w:r>
    </w:p>
    <w:p w14:paraId="367E6899" w14:textId="77777777" w:rsidR="00830E83" w:rsidRDefault="00000000" w:rsidP="00830E83">
      <w:pPr>
        <w:spacing w:before="100" w:beforeAutospacing="1" w:after="100" w:afterAutospacing="1" w:line="360" w:lineRule="auto"/>
        <w:ind w:right="335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Câmara Municipal da Estância de Bragança Paulista aprova e eu, Prefeito Municipal, sanciono e promulgo a seguinte Lei:</w:t>
      </w:r>
    </w:p>
    <w:p w14:paraId="2A7F7D5D" w14:textId="5B67AA82" w:rsidR="00830E83" w:rsidRDefault="00000000" w:rsidP="00830E83">
      <w:pPr>
        <w:spacing w:before="100" w:beforeAutospacing="1" w:after="100" w:afterAutospacing="1" w:line="360" w:lineRule="auto"/>
        <w:ind w:right="335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1º</w:t>
      </w:r>
      <w:r>
        <w:rPr>
          <w:rFonts w:ascii="Arial" w:hAnsi="Arial" w:cs="Arial"/>
          <w:sz w:val="22"/>
          <w:szCs w:val="22"/>
        </w:rPr>
        <w:t xml:space="preserve"> Fica o Poder Executivo autorizado a contratar operação de crédito junto ao Banco Nacional de Desenvolvimento – BNDES, com ou sem garantia da União, até o montante de R$ 96.629.890,00</w:t>
      </w:r>
      <w:r>
        <w:rPr>
          <w:rFonts w:ascii="Arial" w:eastAsia="Arial" w:hAnsi="Arial" w:cs="Arial"/>
          <w:sz w:val="22"/>
          <w:szCs w:val="22"/>
        </w:rPr>
        <w:t xml:space="preserve"> (Noventa e seis milhões, seiscentos e vinte e nove mil, oitocentos e noventa reais),</w:t>
      </w:r>
      <w:r>
        <w:rPr>
          <w:rFonts w:ascii="Arial" w:hAnsi="Arial" w:cs="Arial"/>
          <w:sz w:val="22"/>
          <w:szCs w:val="22"/>
        </w:rPr>
        <w:t xml:space="preserve"> destinados à reforma, modernização, ampliação, adequação estrutural e melhoria das Unidades de Saúde do Município de Bragança Paulista, observada a legislação vigente, em especial as disposições da Lei Complementar nº101, de 04 de maio de 2000.</w:t>
      </w:r>
    </w:p>
    <w:p w14:paraId="77F93312" w14:textId="33051605" w:rsidR="00830E83" w:rsidRDefault="00000000" w:rsidP="00830E83">
      <w:pPr>
        <w:spacing w:before="100" w:beforeAutospacing="1" w:after="100" w:afterAutospacing="1" w:line="360" w:lineRule="auto"/>
        <w:ind w:right="335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Art. 2º</w:t>
      </w:r>
      <w:r>
        <w:rPr>
          <w:rFonts w:ascii="Arial" w:eastAsia="Arial" w:hAnsi="Arial" w:cs="Arial"/>
          <w:sz w:val="22"/>
          <w:szCs w:val="22"/>
        </w:rPr>
        <w:t xml:space="preserve"> Fica o Poder Executivo autorizado a vincular, como contragarantia à garantia da União, à operação de crédito de que trata esta lei, em caráter irrevogável e irretratável, a modo “pro solvendo”, as receitas discriminadas no § 4º do art. 167 da Constituição Federal, no que couber, bem como outras garantias admitidas em direito.</w:t>
      </w:r>
    </w:p>
    <w:p w14:paraId="2E293506" w14:textId="77777777" w:rsidR="00830E83" w:rsidRDefault="00000000" w:rsidP="00830E83">
      <w:pPr>
        <w:pBdr>
          <w:top w:val="nil"/>
          <w:left w:val="nil"/>
          <w:bottom w:val="nil"/>
          <w:right w:val="nil"/>
        </w:pBdr>
        <w:shd w:val="clear" w:color="FFFFFF" w:fill="FFFFFF"/>
        <w:ind w:right="335" w:firstLine="22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§ 1º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Para  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</w:t>
      </w:r>
      <w:proofErr w:type="gramStart"/>
      <w:r>
        <w:rPr>
          <w:rFonts w:ascii="Arial" w:eastAsia="Arial" w:hAnsi="Arial" w:cs="Arial"/>
          <w:sz w:val="22"/>
          <w:szCs w:val="22"/>
        </w:rPr>
        <w:t>garantia  do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</w:t>
      </w:r>
      <w:proofErr w:type="gramStart"/>
      <w:r>
        <w:rPr>
          <w:rFonts w:ascii="Arial" w:eastAsia="Arial" w:hAnsi="Arial" w:cs="Arial"/>
          <w:sz w:val="22"/>
          <w:szCs w:val="22"/>
        </w:rPr>
        <w:t>principal,  encargos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</w:t>
      </w:r>
      <w:proofErr w:type="gramStart"/>
      <w:r>
        <w:rPr>
          <w:rFonts w:ascii="Arial" w:eastAsia="Arial" w:hAnsi="Arial" w:cs="Arial"/>
          <w:sz w:val="22"/>
          <w:szCs w:val="22"/>
        </w:rPr>
        <w:t>e  acessórios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</w:t>
      </w:r>
      <w:proofErr w:type="gramStart"/>
      <w:r>
        <w:rPr>
          <w:rFonts w:ascii="Arial" w:eastAsia="Arial" w:hAnsi="Arial" w:cs="Arial"/>
          <w:sz w:val="22"/>
          <w:szCs w:val="22"/>
        </w:rPr>
        <w:t>dos  financiamentos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</w:t>
      </w:r>
      <w:proofErr w:type="gramStart"/>
      <w:r>
        <w:rPr>
          <w:rFonts w:ascii="Arial" w:eastAsia="Arial" w:hAnsi="Arial" w:cs="Arial"/>
          <w:sz w:val="22"/>
          <w:szCs w:val="22"/>
        </w:rPr>
        <w:t>ou  operações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de crédito pelo Município de Bragança Paulista, Estado de São Paulo, para obras de infraestrutura, construção e aquisição de material permanente, observada a finalidade indicada no seu art. 2º, fica o Poder Executivo autorizado a ceder e ou vincular em garantia, em caráter irrevogável e irretratável, a modo pró solvendo, as receitas e parcelas de cotas do Fundo de Participação dos Municípios.</w:t>
      </w:r>
    </w:p>
    <w:p w14:paraId="7DE3E7D7" w14:textId="77777777" w:rsidR="00830E83" w:rsidRDefault="00830E83" w:rsidP="00830E83">
      <w:pPr>
        <w:pBdr>
          <w:top w:val="nil"/>
          <w:left w:val="nil"/>
          <w:bottom w:val="nil"/>
          <w:right w:val="nil"/>
        </w:pBdr>
        <w:shd w:val="clear" w:color="FFFFFF" w:fill="FFFFFF"/>
        <w:ind w:right="335" w:firstLine="2268"/>
        <w:jc w:val="both"/>
        <w:rPr>
          <w:rFonts w:ascii="Arial" w:hAnsi="Arial" w:cs="Arial"/>
          <w:sz w:val="22"/>
          <w:szCs w:val="22"/>
        </w:rPr>
      </w:pPr>
    </w:p>
    <w:p w14:paraId="2B4219F1" w14:textId="77777777" w:rsidR="00830E83" w:rsidRDefault="00000000" w:rsidP="00830E83">
      <w:pPr>
        <w:pBdr>
          <w:top w:val="nil"/>
          <w:left w:val="nil"/>
          <w:bottom w:val="nil"/>
          <w:right w:val="nil"/>
        </w:pBdr>
        <w:shd w:val="clear" w:color="FFFFFF" w:fill="FFFFFF"/>
        <w:ind w:right="335" w:firstLine="22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I –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disposto no caput deste artigo obedece aos ditames contidos no Inciso I e II do art. 159 da Constituição Federal, e, na hipótese da extinção dos impostos ali mencionados, os fundos ou impostos que venham a substituí-los, bem como, na sua insuficiência, parte dos depósitos serão conferidos à Caixa Econômica Federal os poderes bastantes para que as garantias possam ser prontamente exequíveis no caso de inadimplemento.</w:t>
      </w:r>
    </w:p>
    <w:p w14:paraId="21EA0FB0" w14:textId="77777777" w:rsidR="00830E83" w:rsidRDefault="00830E83" w:rsidP="00830E83">
      <w:pPr>
        <w:pBdr>
          <w:top w:val="nil"/>
          <w:left w:val="nil"/>
          <w:bottom w:val="nil"/>
          <w:right w:val="nil"/>
        </w:pBdr>
        <w:shd w:val="clear" w:color="FFFFFF" w:fill="FFFFFF"/>
        <w:ind w:right="335" w:firstLine="2268"/>
        <w:jc w:val="both"/>
        <w:rPr>
          <w:rFonts w:ascii="Arial" w:hAnsi="Arial" w:cs="Arial"/>
          <w:sz w:val="22"/>
          <w:szCs w:val="22"/>
        </w:rPr>
      </w:pPr>
    </w:p>
    <w:p w14:paraId="2B68A450" w14:textId="77777777" w:rsidR="00830E83" w:rsidRDefault="00000000" w:rsidP="00830E83">
      <w:pPr>
        <w:pBdr>
          <w:top w:val="nil"/>
          <w:left w:val="nil"/>
          <w:bottom w:val="nil"/>
          <w:right w:val="nil"/>
        </w:pBdr>
        <w:shd w:val="clear" w:color="FFFFFF" w:fill="FFFFFF"/>
        <w:ind w:right="335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II –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para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 efetivação da cessão e ou da vinculação em garantia dos recursos previstos no caput deste artigo, fica o Banco do Brasil autorizado a transferir os recursos cedidos e/</w:t>
      </w:r>
      <w:proofErr w:type="gramStart"/>
      <w:r>
        <w:rPr>
          <w:rFonts w:ascii="Arial" w:eastAsia="Arial" w:hAnsi="Arial" w:cs="Arial"/>
          <w:sz w:val="22"/>
          <w:szCs w:val="22"/>
        </w:rPr>
        <w:t>ou  vinculados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</w:t>
      </w:r>
      <w:proofErr w:type="gramStart"/>
      <w:r>
        <w:rPr>
          <w:rFonts w:ascii="Arial" w:eastAsia="Arial" w:hAnsi="Arial" w:cs="Arial"/>
          <w:sz w:val="22"/>
          <w:szCs w:val="22"/>
        </w:rPr>
        <w:t>à  Conta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</w:t>
      </w:r>
      <w:proofErr w:type="gramStart"/>
      <w:r>
        <w:rPr>
          <w:rFonts w:ascii="Arial" w:eastAsia="Arial" w:hAnsi="Arial" w:cs="Arial"/>
          <w:sz w:val="22"/>
          <w:szCs w:val="22"/>
        </w:rPr>
        <w:t>e  ordem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</w:t>
      </w:r>
      <w:proofErr w:type="gramStart"/>
      <w:r>
        <w:rPr>
          <w:rFonts w:ascii="Arial" w:eastAsia="Arial" w:hAnsi="Arial" w:cs="Arial"/>
          <w:sz w:val="22"/>
          <w:szCs w:val="22"/>
        </w:rPr>
        <w:t>da  Caixa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</w:t>
      </w:r>
      <w:proofErr w:type="gramStart"/>
      <w:r>
        <w:rPr>
          <w:rFonts w:ascii="Arial" w:eastAsia="Arial" w:hAnsi="Arial" w:cs="Arial"/>
          <w:sz w:val="22"/>
          <w:szCs w:val="22"/>
        </w:rPr>
        <w:lastRenderedPageBreak/>
        <w:t>Econômica  Federal,  nos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</w:t>
      </w:r>
      <w:proofErr w:type="gramStart"/>
      <w:r>
        <w:rPr>
          <w:rFonts w:ascii="Arial" w:eastAsia="Arial" w:hAnsi="Arial" w:cs="Arial"/>
          <w:sz w:val="22"/>
          <w:szCs w:val="22"/>
        </w:rPr>
        <w:t>montantes  necessários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à amortização da dívida, nos prazos contratualmente estipulados, em caso de cessão ou ao pagamento dos débitos vencidos e não pagos, em caso de vinculação;</w:t>
      </w:r>
    </w:p>
    <w:p w14:paraId="68744E94" w14:textId="77777777" w:rsidR="00830E83" w:rsidRDefault="00830E83" w:rsidP="00830E83">
      <w:pPr>
        <w:pBdr>
          <w:top w:val="nil"/>
          <w:left w:val="nil"/>
          <w:bottom w:val="nil"/>
          <w:right w:val="nil"/>
        </w:pBdr>
        <w:shd w:val="clear" w:color="FFFFFF" w:fill="FFFFFF"/>
        <w:ind w:right="335" w:firstLine="2268"/>
        <w:jc w:val="both"/>
        <w:rPr>
          <w:rFonts w:ascii="Arial" w:hAnsi="Arial" w:cs="Arial"/>
          <w:sz w:val="22"/>
          <w:szCs w:val="22"/>
        </w:rPr>
      </w:pPr>
    </w:p>
    <w:p w14:paraId="50F76279" w14:textId="77777777" w:rsidR="00830E83" w:rsidRDefault="00000000" w:rsidP="00830E83">
      <w:pPr>
        <w:pBdr>
          <w:top w:val="nil"/>
          <w:left w:val="nil"/>
          <w:bottom w:val="nil"/>
          <w:right w:val="nil"/>
        </w:pBdr>
        <w:shd w:val="clear" w:color="FFFFFF" w:fill="FFFFFF"/>
        <w:ind w:right="335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III –</w:t>
      </w:r>
      <w:r>
        <w:rPr>
          <w:rFonts w:ascii="Arial" w:eastAsia="Arial" w:hAnsi="Arial" w:cs="Arial"/>
          <w:sz w:val="22"/>
          <w:szCs w:val="22"/>
        </w:rPr>
        <w:t xml:space="preserve"> os poderes previstos neste parágrafo e nos incisos I e II só poderão ser exercidos pela Caixa Econômica Federal, na hipótese de o município de Bragança Paulista, Estado de São Paulo, não ter efetuado, no vencimento, o pagamento das obrigações assumidas nos contratos de empréstimos, financiamentos ou operações de crédito celebradas com a Caixa Econômica Federal</w:t>
      </w:r>
    </w:p>
    <w:p w14:paraId="3D89AC93" w14:textId="652A7AA8" w:rsidR="00830E83" w:rsidRDefault="00000000" w:rsidP="00830E83">
      <w:pPr>
        <w:spacing w:before="100" w:beforeAutospacing="1" w:after="100" w:afterAutospacing="1" w:line="360" w:lineRule="auto"/>
        <w:ind w:right="335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3º</w:t>
      </w:r>
      <w:r>
        <w:rPr>
          <w:rFonts w:ascii="Arial" w:hAnsi="Arial" w:cs="Arial"/>
          <w:sz w:val="22"/>
          <w:szCs w:val="22"/>
        </w:rPr>
        <w:t xml:space="preserve"> Os recursos provenientes da operação de crédito a que se refere esta lei deverão ser consignados como recita no orçamento ou em créditos adicionais, nos termos do inciso II, §1º, art.32, da Lei Complementar nº101/2000.</w:t>
      </w:r>
    </w:p>
    <w:p w14:paraId="65AE5D77" w14:textId="29B06BC1" w:rsidR="00830E83" w:rsidRDefault="00000000" w:rsidP="00830E83">
      <w:pPr>
        <w:spacing w:before="100" w:beforeAutospacing="1" w:after="100" w:afterAutospacing="1" w:line="360" w:lineRule="auto"/>
        <w:ind w:right="335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4º</w:t>
      </w:r>
      <w:r>
        <w:rPr>
          <w:rFonts w:ascii="Arial" w:hAnsi="Arial" w:cs="Arial"/>
          <w:sz w:val="22"/>
          <w:szCs w:val="22"/>
        </w:rPr>
        <w:t xml:space="preserve"> Os orçamentos ou os créditos deverão consignar as dotações necessárias às amortizações e aos pagamentos dos encargos anuais, relativos aos contratos de financiamento a que se refere o artigo primeiro.</w:t>
      </w:r>
    </w:p>
    <w:p w14:paraId="6D4484CE" w14:textId="70229417" w:rsidR="00830E83" w:rsidRDefault="00000000" w:rsidP="00830E83">
      <w:pPr>
        <w:spacing w:before="100" w:beforeAutospacing="1" w:after="100" w:afterAutospacing="1" w:line="360" w:lineRule="auto"/>
        <w:ind w:right="335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5º</w:t>
      </w:r>
      <w:r>
        <w:rPr>
          <w:rFonts w:ascii="Arial" w:hAnsi="Arial" w:cs="Arial"/>
          <w:sz w:val="22"/>
          <w:szCs w:val="22"/>
        </w:rPr>
        <w:t xml:space="preserve"> Fica o Chefe do Poder Executivo autorizado a abrir créditos adicionais destinados a fazer face aos pagamentos de obrigações decorrentes da operação de crédito ora autorizada.</w:t>
      </w:r>
    </w:p>
    <w:p w14:paraId="78A7C639" w14:textId="79983368" w:rsidR="00830E83" w:rsidRDefault="00000000" w:rsidP="00830E83">
      <w:pPr>
        <w:spacing w:before="100" w:beforeAutospacing="1" w:after="100" w:afterAutospacing="1" w:line="360" w:lineRule="auto"/>
        <w:ind w:right="335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6º</w:t>
      </w:r>
      <w:r>
        <w:rPr>
          <w:rFonts w:ascii="Arial" w:hAnsi="Arial" w:cs="Arial"/>
          <w:sz w:val="22"/>
          <w:szCs w:val="22"/>
        </w:rPr>
        <w:t xml:space="preserve"> Esta Lei entra em vigor na data de sua publicação.</w:t>
      </w:r>
    </w:p>
    <w:p w14:paraId="576C6E6B" w14:textId="77777777" w:rsidR="00830E83" w:rsidRDefault="00000000" w:rsidP="00830E83">
      <w:pPr>
        <w:spacing w:line="276" w:lineRule="auto"/>
        <w:ind w:firstLine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Bragança Paulista, </w:t>
      </w:r>
      <w:r>
        <w:rPr>
          <w:rFonts w:ascii="Arial" w:hAnsi="Arial" w:cs="Arial"/>
          <w:sz w:val="22"/>
          <w:szCs w:val="22"/>
        </w:rPr>
        <w:br w:type="textWrapping" w:clear="all"/>
      </w:r>
    </w:p>
    <w:p w14:paraId="741EC34A" w14:textId="77777777" w:rsidR="00836052" w:rsidRDefault="00836052" w:rsidP="00830E83">
      <w:pPr>
        <w:spacing w:line="276" w:lineRule="auto"/>
        <w:ind w:firstLine="2268"/>
        <w:rPr>
          <w:rFonts w:ascii="Arial" w:hAnsi="Arial" w:cs="Arial"/>
          <w:sz w:val="22"/>
          <w:szCs w:val="22"/>
        </w:rPr>
      </w:pPr>
    </w:p>
    <w:p w14:paraId="610BA532" w14:textId="77777777" w:rsidR="00836052" w:rsidRDefault="00836052" w:rsidP="00830E83">
      <w:pPr>
        <w:spacing w:line="276" w:lineRule="auto"/>
        <w:ind w:firstLine="2268"/>
        <w:rPr>
          <w:rFonts w:ascii="Arial" w:hAnsi="Arial" w:cs="Arial"/>
          <w:sz w:val="22"/>
          <w:szCs w:val="22"/>
        </w:rPr>
      </w:pPr>
    </w:p>
    <w:p w14:paraId="5D37145E" w14:textId="77777777" w:rsidR="00836052" w:rsidRDefault="00836052" w:rsidP="00830E83">
      <w:pPr>
        <w:spacing w:line="276" w:lineRule="auto"/>
        <w:ind w:firstLine="2268"/>
        <w:rPr>
          <w:rFonts w:ascii="Arial" w:hAnsi="Arial" w:cs="Arial"/>
          <w:sz w:val="22"/>
          <w:szCs w:val="22"/>
        </w:rPr>
      </w:pPr>
    </w:p>
    <w:p w14:paraId="3E046E35" w14:textId="77777777" w:rsidR="00836052" w:rsidRDefault="00836052" w:rsidP="00830E83">
      <w:pPr>
        <w:spacing w:line="276" w:lineRule="auto"/>
        <w:ind w:firstLine="2268"/>
        <w:rPr>
          <w:rFonts w:ascii="Arial" w:hAnsi="Arial" w:cs="Arial"/>
          <w:sz w:val="22"/>
          <w:szCs w:val="22"/>
        </w:rPr>
      </w:pPr>
    </w:p>
    <w:p w14:paraId="75D4E67E" w14:textId="77777777" w:rsidR="00830E83" w:rsidRDefault="00830E83" w:rsidP="00830E8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9B77FF" w14:textId="77777777" w:rsidR="00830E83" w:rsidRDefault="00830E83" w:rsidP="00830E8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E572DCD" w14:textId="36725F45" w:rsidR="00830E83" w:rsidRDefault="00000000" w:rsidP="00830E8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EDMIR CHEDID</w:t>
      </w:r>
    </w:p>
    <w:p w14:paraId="0FED6DFC" w14:textId="71850C34" w:rsidR="007B0297" w:rsidRDefault="00000000" w:rsidP="00830E83">
      <w:pPr>
        <w:pStyle w:val="Textbodyindent"/>
        <w:tabs>
          <w:tab w:val="left" w:pos="0"/>
        </w:tabs>
        <w:spacing w:after="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Prefeito Municipal</w:t>
      </w:r>
    </w:p>
    <w:p w14:paraId="127AE5E7" w14:textId="77777777" w:rsidR="00603A58" w:rsidRDefault="00603A58" w:rsidP="00830E83">
      <w:pPr>
        <w:pStyle w:val="Textbodyindent"/>
        <w:tabs>
          <w:tab w:val="left" w:pos="0"/>
        </w:tabs>
        <w:spacing w:after="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C9E8ECF" w14:textId="77777777" w:rsidR="00603A58" w:rsidRDefault="00603A58" w:rsidP="00830E83">
      <w:pPr>
        <w:pStyle w:val="Textbodyindent"/>
        <w:tabs>
          <w:tab w:val="left" w:pos="0"/>
        </w:tabs>
        <w:spacing w:after="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524210B" w14:textId="77777777" w:rsidR="00603A58" w:rsidRDefault="00603A58" w:rsidP="00830E83">
      <w:pPr>
        <w:pStyle w:val="Textbodyindent"/>
        <w:tabs>
          <w:tab w:val="left" w:pos="0"/>
        </w:tabs>
        <w:spacing w:after="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21E9DC1" w14:textId="77777777" w:rsidR="00603A58" w:rsidRDefault="00603A58" w:rsidP="00830E83">
      <w:pPr>
        <w:pStyle w:val="Textbodyindent"/>
        <w:tabs>
          <w:tab w:val="left" w:pos="0"/>
        </w:tabs>
        <w:spacing w:after="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52945D1" w14:textId="77777777" w:rsidR="00603A58" w:rsidRDefault="00603A58" w:rsidP="00830E83">
      <w:pPr>
        <w:pStyle w:val="Textbodyindent"/>
        <w:tabs>
          <w:tab w:val="left" w:pos="0"/>
        </w:tabs>
        <w:spacing w:after="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1493FA" w14:textId="77777777" w:rsidR="00603A58" w:rsidRPr="00603A58" w:rsidRDefault="00000000" w:rsidP="00603A58">
      <w:pPr>
        <w:spacing w:before="100" w:beforeAutospacing="1" w:after="100" w:afterAutospacing="1" w:line="276" w:lineRule="auto"/>
        <w:rPr>
          <w:rFonts w:ascii="Arial" w:hAnsi="Arial" w:cs="Arial"/>
          <w:b/>
          <w:bCs/>
          <w:sz w:val="22"/>
          <w:szCs w:val="22"/>
        </w:rPr>
      </w:pPr>
      <w:r w:rsidRPr="00603A58">
        <w:rPr>
          <w:rFonts w:ascii="Arial" w:hAnsi="Arial" w:cs="Arial"/>
          <w:b/>
          <w:bCs/>
          <w:sz w:val="22"/>
          <w:szCs w:val="22"/>
        </w:rPr>
        <w:t>Ofício CM - 20/2026</w:t>
      </w:r>
    </w:p>
    <w:p w14:paraId="6F7DBF13" w14:textId="77777777" w:rsidR="00603A58" w:rsidRPr="00603A58" w:rsidRDefault="00000000" w:rsidP="00603A58">
      <w:pPr>
        <w:spacing w:before="100" w:beforeAutospacing="1" w:after="100" w:afterAutospacing="1" w:line="276" w:lineRule="auto"/>
        <w:jc w:val="right"/>
        <w:rPr>
          <w:rFonts w:ascii="Arial" w:hAnsi="Arial" w:cs="Arial"/>
          <w:sz w:val="22"/>
          <w:szCs w:val="22"/>
        </w:rPr>
      </w:pPr>
      <w:r w:rsidRPr="00603A58">
        <w:rPr>
          <w:rFonts w:ascii="Arial" w:hAnsi="Arial" w:cs="Arial"/>
          <w:sz w:val="22"/>
          <w:szCs w:val="22"/>
        </w:rPr>
        <w:lastRenderedPageBreak/>
        <w:t>Bragança Paulista, 29 de janeiro de 2026.</w:t>
      </w:r>
    </w:p>
    <w:p w14:paraId="46183343" w14:textId="77777777" w:rsidR="00603A58" w:rsidRPr="00603A58" w:rsidRDefault="00603A58" w:rsidP="00603A58">
      <w:pPr>
        <w:spacing w:before="100" w:beforeAutospacing="1" w:after="100" w:afterAutospacing="1" w:line="276" w:lineRule="auto"/>
        <w:rPr>
          <w:rFonts w:ascii="Arial" w:hAnsi="Arial" w:cs="Arial"/>
          <w:sz w:val="22"/>
          <w:szCs w:val="22"/>
        </w:rPr>
      </w:pPr>
    </w:p>
    <w:p w14:paraId="297378D1" w14:textId="77777777" w:rsidR="00603A58" w:rsidRPr="00603A58" w:rsidRDefault="00000000" w:rsidP="00603A58">
      <w:pPr>
        <w:spacing w:before="100" w:beforeAutospacing="1" w:after="100" w:afterAutospacing="1" w:line="276" w:lineRule="auto"/>
        <w:rPr>
          <w:rFonts w:ascii="Arial" w:hAnsi="Arial" w:cs="Arial"/>
          <w:sz w:val="22"/>
          <w:szCs w:val="22"/>
        </w:rPr>
      </w:pPr>
      <w:r w:rsidRPr="00603A58">
        <w:rPr>
          <w:rFonts w:ascii="Arial" w:hAnsi="Arial" w:cs="Arial"/>
          <w:sz w:val="22"/>
          <w:szCs w:val="22"/>
        </w:rPr>
        <w:t>Ao Exmo. Sr.</w:t>
      </w:r>
    </w:p>
    <w:p w14:paraId="4DEEBDD8" w14:textId="77777777" w:rsidR="00603A58" w:rsidRPr="00603A58" w:rsidRDefault="00000000" w:rsidP="00603A58">
      <w:pPr>
        <w:spacing w:before="100" w:beforeAutospacing="1" w:after="100" w:afterAutospacing="1" w:line="276" w:lineRule="auto"/>
        <w:rPr>
          <w:rFonts w:ascii="Arial" w:hAnsi="Arial" w:cs="Arial"/>
          <w:b/>
          <w:bCs/>
          <w:sz w:val="22"/>
          <w:szCs w:val="22"/>
        </w:rPr>
      </w:pPr>
      <w:r w:rsidRPr="00603A58">
        <w:rPr>
          <w:rFonts w:ascii="Arial" w:hAnsi="Arial" w:cs="Arial"/>
          <w:b/>
          <w:bCs/>
          <w:sz w:val="22"/>
          <w:szCs w:val="22"/>
        </w:rPr>
        <w:t>SEBASTIÃO GARCIA AMARAL</w:t>
      </w:r>
    </w:p>
    <w:p w14:paraId="5AF5F217" w14:textId="77777777" w:rsidR="00603A58" w:rsidRPr="00603A58" w:rsidRDefault="00000000" w:rsidP="00603A58">
      <w:pPr>
        <w:spacing w:before="100" w:beforeAutospacing="1" w:after="100" w:afterAutospacing="1" w:line="276" w:lineRule="auto"/>
        <w:rPr>
          <w:rFonts w:ascii="Arial" w:hAnsi="Arial" w:cs="Arial"/>
          <w:sz w:val="22"/>
          <w:szCs w:val="22"/>
        </w:rPr>
      </w:pPr>
      <w:r w:rsidRPr="00603A58">
        <w:rPr>
          <w:rFonts w:ascii="Arial" w:hAnsi="Arial" w:cs="Arial"/>
          <w:sz w:val="22"/>
          <w:szCs w:val="22"/>
        </w:rPr>
        <w:t>DD. Presidente da Câmara Municipal de Bragança Paulista</w:t>
      </w:r>
    </w:p>
    <w:p w14:paraId="28554867" w14:textId="77777777" w:rsidR="00603A58" w:rsidRPr="00603A58" w:rsidRDefault="00603A58" w:rsidP="00603A58">
      <w:pPr>
        <w:spacing w:before="100" w:beforeAutospacing="1" w:after="100" w:afterAutospacing="1" w:line="276" w:lineRule="auto"/>
        <w:rPr>
          <w:rFonts w:ascii="Arial" w:hAnsi="Arial" w:cs="Arial"/>
          <w:sz w:val="22"/>
          <w:szCs w:val="22"/>
        </w:rPr>
      </w:pPr>
    </w:p>
    <w:p w14:paraId="6AC76E68" w14:textId="77777777" w:rsidR="00603A58" w:rsidRPr="00603A58" w:rsidRDefault="00000000" w:rsidP="00603A58">
      <w:pPr>
        <w:rPr>
          <w:rFonts w:ascii="Arial" w:hAnsi="Arial" w:cs="Arial"/>
          <w:sz w:val="22"/>
          <w:szCs w:val="22"/>
        </w:rPr>
      </w:pPr>
      <w:r w:rsidRPr="00603A58">
        <w:rPr>
          <w:rFonts w:ascii="Arial" w:hAnsi="Arial" w:cs="Arial"/>
          <w:sz w:val="22"/>
          <w:szCs w:val="22"/>
        </w:rPr>
        <w:t>Prezado Senhor,</w:t>
      </w:r>
    </w:p>
    <w:p w14:paraId="7FE3878F" w14:textId="77777777" w:rsidR="00603A58" w:rsidRPr="00603A58" w:rsidRDefault="00603A58" w:rsidP="00603A58">
      <w:pPr>
        <w:rPr>
          <w:rFonts w:ascii="Arial" w:hAnsi="Arial" w:cs="Arial"/>
          <w:sz w:val="22"/>
          <w:szCs w:val="22"/>
        </w:rPr>
      </w:pPr>
    </w:p>
    <w:p w14:paraId="56D47BD9" w14:textId="77777777" w:rsidR="00603A58" w:rsidRPr="00603A58" w:rsidRDefault="00000000" w:rsidP="00603A58">
      <w:pPr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603A58">
        <w:rPr>
          <w:rFonts w:ascii="Arial" w:hAnsi="Arial" w:cs="Arial"/>
          <w:sz w:val="22"/>
          <w:szCs w:val="22"/>
        </w:rPr>
        <w:t xml:space="preserve">Cumprimentando, venho pelo presente encaminhar a Vossa Excelência, para apreciação dessa Câmara Municipal, o incluso Projeto de Lei que visa autorizar o Município de Bragança Paulista a contratar operação de crédito junto ao Fundo de Investimentos em Infraestrutura Social – FIIS, no valor de </w:t>
      </w:r>
      <w:r w:rsidRPr="00830E83">
        <w:rPr>
          <w:rFonts w:ascii="Arial" w:hAnsi="Arial" w:cs="Arial"/>
          <w:sz w:val="22"/>
          <w:szCs w:val="22"/>
        </w:rPr>
        <w:t>R$ 96.629.890,00</w:t>
      </w:r>
      <w:r w:rsidRPr="00830E83">
        <w:rPr>
          <w:rFonts w:ascii="Arial" w:eastAsia="Arial" w:hAnsi="Arial" w:cs="Arial"/>
          <w:sz w:val="22"/>
          <w:szCs w:val="22"/>
        </w:rPr>
        <w:t xml:space="preserve"> (Noventa e seis milhões, seiscentos e vinte e nove mil, oitocentos e noventa reais)</w:t>
      </w:r>
      <w:r w:rsidRPr="00603A58">
        <w:rPr>
          <w:rFonts w:ascii="Arial" w:hAnsi="Arial" w:cs="Arial"/>
          <w:sz w:val="22"/>
          <w:szCs w:val="22"/>
        </w:rPr>
        <w:t>, com destinação específica à reforma e modernização das unidades de saúde da rede municipal.</w:t>
      </w:r>
    </w:p>
    <w:p w14:paraId="30A01A43" w14:textId="77777777" w:rsidR="00603A58" w:rsidRPr="00603A58" w:rsidRDefault="00000000" w:rsidP="00603A58">
      <w:pPr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603A58">
        <w:rPr>
          <w:rFonts w:ascii="Arial" w:hAnsi="Arial" w:cs="Arial"/>
          <w:sz w:val="22"/>
          <w:szCs w:val="22"/>
        </w:rPr>
        <w:t>A medida se mostra necessária, estratégica e alinhada ao interesse público, considerando o estado de conservação de diversas unidades de saúde, a ampliação da demanda por serviços assistenciais e a necessidade de adequação das estruturas físicas às normas sanitárias, de acessibilidade, segurança e humanização do atendimento.</w:t>
      </w:r>
    </w:p>
    <w:p w14:paraId="091C3B6F" w14:textId="77777777" w:rsidR="00603A58" w:rsidRPr="00603A58" w:rsidRDefault="00000000" w:rsidP="00603A58">
      <w:pPr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603A58">
        <w:rPr>
          <w:rFonts w:ascii="Arial" w:hAnsi="Arial" w:cs="Arial"/>
          <w:sz w:val="22"/>
          <w:szCs w:val="22"/>
        </w:rPr>
        <w:t>A melhoria da infraestrutura da rede municipal de saúde é fator essencial para garantir atendimento digno, seguro e eficiente à população, assegurar melhores condições de trabalho aos profissionais da saúde, reduzir custos futuros com manutenções emergenciais e ampliar a capacidade de resposta do Município às demandas assistenciais.</w:t>
      </w:r>
      <w:r w:rsidRPr="00603A58">
        <w:rPr>
          <w:rFonts w:ascii="Arial" w:hAnsi="Arial" w:cs="Arial"/>
          <w:sz w:val="22"/>
          <w:szCs w:val="22"/>
        </w:rPr>
        <w:tab/>
      </w:r>
    </w:p>
    <w:p w14:paraId="1B20C28E" w14:textId="77777777" w:rsidR="00603A58" w:rsidRPr="00603A58" w:rsidRDefault="00000000" w:rsidP="00603A58">
      <w:pPr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603A58">
        <w:rPr>
          <w:rFonts w:ascii="Arial" w:hAnsi="Arial" w:cs="Arial"/>
          <w:sz w:val="22"/>
          <w:szCs w:val="22"/>
        </w:rPr>
        <w:t>O financiamento por meio do FIIS permitirá ao Município realizar investimentos estruturantes de grande porte, sem comprometer a continuidade dos serviços públicos essenciais, observando rigorosamente os limites e exigências da Lei de Responsabilidade Fiscal, bem como as normas de controle externo.</w:t>
      </w:r>
    </w:p>
    <w:p w14:paraId="52D48206" w14:textId="77777777" w:rsidR="00603A58" w:rsidRPr="00603A58" w:rsidRDefault="00000000" w:rsidP="00603A58">
      <w:pPr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603A58">
        <w:rPr>
          <w:rFonts w:ascii="Arial" w:hAnsi="Arial" w:cs="Arial"/>
          <w:sz w:val="22"/>
          <w:szCs w:val="22"/>
        </w:rPr>
        <w:t xml:space="preserve">Serão contemplados com as melhorias 40 (quarenta) serviços de saúde, dentre os quais se incluem 2 (duas) Unidades de Pronto Atendimento – UPAs, 28 (vinte e oito) </w:t>
      </w:r>
      <w:r w:rsidRPr="00603A58">
        <w:rPr>
          <w:rFonts w:ascii="Arial" w:hAnsi="Arial" w:cs="Arial"/>
          <w:sz w:val="22"/>
          <w:szCs w:val="22"/>
        </w:rPr>
        <w:lastRenderedPageBreak/>
        <w:t>Unidades Básicas de Saúde – UBS, 6 (seis) ambulatórios, 2 (dois) Centros de Atenção Psicossocial – CAPS, 1 (uma) Central de Regulação e 1 (um) Almoxarifado de Medicamentos, além da aquisição de 1 (uma) unidade móvel odontológica e da construção de 2 (duas) residências terapêuticas.</w:t>
      </w:r>
    </w:p>
    <w:p w14:paraId="3D8D021D" w14:textId="77777777" w:rsidR="00603A58" w:rsidRPr="00603A58" w:rsidRDefault="00000000" w:rsidP="00603A58">
      <w:pPr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603A58">
        <w:rPr>
          <w:rFonts w:ascii="Arial" w:hAnsi="Arial" w:cs="Arial"/>
          <w:sz w:val="22"/>
          <w:szCs w:val="22"/>
        </w:rPr>
        <w:t>Destaca-se que a operação de crédito ora proposta não se destina a custeio, mas sim a investimentos permanentes, com impacto positivo duradouro na qualidade do Sistema Único de Saúde no âmbito municipal.</w:t>
      </w:r>
    </w:p>
    <w:p w14:paraId="6596D585" w14:textId="77777777" w:rsidR="00603A58" w:rsidRPr="00603A58" w:rsidRDefault="00000000" w:rsidP="00603A58">
      <w:pPr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603A58">
        <w:rPr>
          <w:rFonts w:ascii="Arial" w:hAnsi="Arial" w:cs="Arial"/>
          <w:sz w:val="22"/>
          <w:szCs w:val="22"/>
        </w:rPr>
        <w:t>No mais, cumpre salientar que a Administração Municipal, no exercício de 2025, adotou medidas de ordem financeiro-orçamentária que possibilitaram a capacidade de pagamento do Município (CAPAG) para a classificação “A”, o que reflete em condições de financiamentos favoráveis.</w:t>
      </w:r>
    </w:p>
    <w:p w14:paraId="668A37FD" w14:textId="77777777" w:rsidR="00603A58" w:rsidRPr="00603A58" w:rsidRDefault="00000000" w:rsidP="00603A58">
      <w:pPr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603A58">
        <w:rPr>
          <w:rFonts w:ascii="Arial" w:hAnsi="Arial" w:cs="Arial"/>
          <w:sz w:val="22"/>
          <w:szCs w:val="22"/>
        </w:rPr>
        <w:t>Por fim, cumpre salientar que a autorização legislativa é requisito indispensável para a formalização da operação, em consonância com o art. 167, inciso III, da Constituição Federal e demais normas aplicáveis.</w:t>
      </w:r>
    </w:p>
    <w:p w14:paraId="5F92DB98" w14:textId="77777777" w:rsidR="00603A58" w:rsidRPr="00603A58" w:rsidRDefault="00000000" w:rsidP="00603A58">
      <w:pPr>
        <w:spacing w:before="100" w:beforeAutospacing="1" w:after="100" w:afterAutospacing="1" w:line="276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603A58">
        <w:rPr>
          <w:rFonts w:ascii="Arial" w:hAnsi="Arial" w:cs="Arial"/>
          <w:sz w:val="22"/>
          <w:szCs w:val="22"/>
        </w:rPr>
        <w:t>Coloco-me à inteira disposição dessa Casa Legislativa para prestar os esclarecimentos técnicos e jurídicos que se fizerem necessários, bem como para apresentar, em audiência pública ou reunião técnica, os estudos e simulações que subsidiaram a proposta.</w:t>
      </w:r>
    </w:p>
    <w:p w14:paraId="1FFF4BA2" w14:textId="77777777" w:rsidR="00603A58" w:rsidRPr="00603A58" w:rsidRDefault="00000000" w:rsidP="00603A58">
      <w:pPr>
        <w:spacing w:before="100" w:beforeAutospacing="1" w:after="100" w:afterAutospacing="1" w:line="276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603A58">
        <w:rPr>
          <w:rFonts w:ascii="Arial" w:hAnsi="Arial" w:cs="Arial"/>
          <w:sz w:val="22"/>
          <w:szCs w:val="22"/>
        </w:rPr>
        <w:t>Desta forma, solicito a acolhida e aprovação do Projeto de Lei Complementar apresentado e, na oportunidade, reitero a Vossa Excelência e a seus Ilustres Pares, os mais elevados votos de estima e consideração.</w:t>
      </w:r>
    </w:p>
    <w:p w14:paraId="20055188" w14:textId="77777777" w:rsidR="00603A58" w:rsidRPr="00603A58" w:rsidRDefault="00000000" w:rsidP="00603A58">
      <w:pPr>
        <w:spacing w:before="100" w:beforeAutospacing="1" w:after="100" w:afterAutospacing="1" w:line="276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603A58">
        <w:rPr>
          <w:rFonts w:ascii="Arial" w:hAnsi="Arial" w:cs="Arial"/>
          <w:sz w:val="22"/>
          <w:szCs w:val="22"/>
        </w:rPr>
        <w:t>Atenciosamente,</w:t>
      </w:r>
    </w:p>
    <w:p w14:paraId="0715936B" w14:textId="77777777" w:rsidR="00603A58" w:rsidRPr="00603A58" w:rsidRDefault="00603A58" w:rsidP="00603A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C52E82" w14:textId="77777777" w:rsidR="00603A58" w:rsidRPr="00603A58" w:rsidRDefault="00603A58" w:rsidP="00603A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962BBB" w14:textId="77777777" w:rsidR="00603A58" w:rsidRPr="00603A58" w:rsidRDefault="00603A58" w:rsidP="00603A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018A475" w14:textId="77777777" w:rsidR="00603A58" w:rsidRPr="00603A58" w:rsidRDefault="00603A58" w:rsidP="00603A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C6A228C" w14:textId="77777777" w:rsidR="00603A58" w:rsidRPr="00603A58" w:rsidRDefault="00000000" w:rsidP="00603A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03A58">
        <w:rPr>
          <w:rFonts w:ascii="Arial" w:hAnsi="Arial" w:cs="Arial"/>
          <w:b/>
          <w:bCs/>
          <w:sz w:val="22"/>
          <w:szCs w:val="22"/>
        </w:rPr>
        <w:t>EDMIR CHEDID</w:t>
      </w:r>
    </w:p>
    <w:p w14:paraId="0EBC536B" w14:textId="77777777" w:rsidR="00603A58" w:rsidRPr="00603A58" w:rsidRDefault="00000000" w:rsidP="00603A58">
      <w:pPr>
        <w:jc w:val="center"/>
        <w:rPr>
          <w:rFonts w:ascii="Arial" w:hAnsi="Arial" w:cs="Arial"/>
          <w:sz w:val="22"/>
          <w:szCs w:val="22"/>
        </w:rPr>
      </w:pPr>
      <w:r w:rsidRPr="00603A58">
        <w:rPr>
          <w:rFonts w:ascii="Arial" w:hAnsi="Arial" w:cs="Arial"/>
          <w:b/>
          <w:bCs/>
          <w:sz w:val="22"/>
          <w:szCs w:val="22"/>
        </w:rPr>
        <w:t>Prefeito Municipal</w:t>
      </w:r>
    </w:p>
    <w:p w14:paraId="69D8DB67" w14:textId="77777777" w:rsidR="00603A58" w:rsidRPr="00603A58" w:rsidRDefault="00603A58" w:rsidP="00603A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F65ECB6" w14:textId="77777777" w:rsidR="00603A58" w:rsidRPr="00603A58" w:rsidRDefault="00603A58" w:rsidP="00603A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EC1CAB" w14:textId="77777777" w:rsidR="00603A58" w:rsidRDefault="00603A58" w:rsidP="00830E83">
      <w:pPr>
        <w:pStyle w:val="Textbodyindent"/>
        <w:tabs>
          <w:tab w:val="left" w:pos="0"/>
        </w:tabs>
        <w:spacing w:after="0" w:line="360" w:lineRule="auto"/>
        <w:ind w:left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sectPr w:rsidR="00603A5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849" w:bottom="1658" w:left="1985" w:header="720" w:footer="4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AB444" w14:textId="77777777" w:rsidR="00A200F5" w:rsidRDefault="00A200F5">
      <w:r>
        <w:separator/>
      </w:r>
    </w:p>
  </w:endnote>
  <w:endnote w:type="continuationSeparator" w:id="0">
    <w:p w14:paraId="6E3F492C" w14:textId="77777777" w:rsidR="00A200F5" w:rsidRDefault="00A20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12A2" w14:textId="10174C1B" w:rsidR="007B0297" w:rsidRDefault="00000000">
    <w:pPr>
      <w:pStyle w:val="Rodap"/>
      <w:jc w:val="right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>Ofício CM-</w:t>
    </w:r>
    <w:r w:rsidR="00830E83">
      <w:rPr>
        <w:rFonts w:ascii="Arial" w:hAnsi="Arial" w:cs="Arial"/>
        <w:b/>
        <w:sz w:val="14"/>
        <w:szCs w:val="14"/>
      </w:rPr>
      <w:t>20</w:t>
    </w:r>
    <w:r>
      <w:rPr>
        <w:rFonts w:ascii="Arial" w:hAnsi="Arial" w:cs="Arial"/>
        <w:b/>
        <w:sz w:val="14"/>
        <w:szCs w:val="14"/>
      </w:rPr>
      <w:t xml:space="preserve">/2026      </w:t>
    </w:r>
    <w:r>
      <w:rPr>
        <w:rFonts w:ascii="Arial" w:hAnsi="Arial" w:cs="Arial"/>
        <w:b/>
        <w:bCs/>
        <w:sz w:val="14"/>
        <w:szCs w:val="14"/>
      </w:rPr>
      <w:fldChar w:fldCharType="begin"/>
    </w:r>
    <w:r>
      <w:rPr>
        <w:rFonts w:ascii="Arial" w:hAnsi="Arial" w:cs="Arial"/>
        <w:b/>
        <w:bCs/>
        <w:sz w:val="14"/>
        <w:szCs w:val="14"/>
      </w:rPr>
      <w:instrText xml:space="preserve"> PAGE </w:instrText>
    </w:r>
    <w:r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sz w:val="14"/>
        <w:szCs w:val="14"/>
      </w:rPr>
      <w:t>2</w:t>
    </w:r>
    <w:r>
      <w:rPr>
        <w:rFonts w:ascii="Arial" w:hAnsi="Arial" w:cs="Arial"/>
        <w:b/>
        <w:bCs/>
        <w:sz w:val="14"/>
        <w:szCs w:val="14"/>
      </w:rPr>
      <w:fldChar w:fldCharType="end"/>
    </w:r>
    <w:r>
      <w:rPr>
        <w:rFonts w:ascii="Arial" w:hAnsi="Arial" w:cs="Arial"/>
        <w:b/>
        <w:bCs/>
        <w:sz w:val="14"/>
        <w:szCs w:val="14"/>
      </w:rPr>
      <w:t>/</w:t>
    </w:r>
    <w:r>
      <w:rPr>
        <w:rFonts w:ascii="Arial" w:hAnsi="Arial" w:cs="Arial"/>
        <w:b/>
        <w:bCs/>
        <w:sz w:val="14"/>
        <w:szCs w:val="14"/>
      </w:rPr>
      <w:fldChar w:fldCharType="begin"/>
    </w:r>
    <w:r>
      <w:rPr>
        <w:rFonts w:ascii="Arial" w:hAnsi="Arial" w:cs="Arial"/>
        <w:b/>
        <w:bCs/>
        <w:sz w:val="14"/>
        <w:szCs w:val="14"/>
      </w:rPr>
      <w:instrText xml:space="preserve"> NUMPAGES \* ARABIC </w:instrText>
    </w:r>
    <w:r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sz w:val="14"/>
        <w:szCs w:val="14"/>
      </w:rPr>
      <w:t>3</w:t>
    </w:r>
    <w:r>
      <w:rPr>
        <w:rFonts w:ascii="Arial" w:hAnsi="Arial" w:cs="Arial"/>
        <w:b/>
        <w:bCs/>
        <w:sz w:val="14"/>
        <w:szCs w:val="14"/>
      </w:rPr>
      <w:fldChar w:fldCharType="end"/>
    </w:r>
  </w:p>
  <w:p w14:paraId="37F8CBBC" w14:textId="77777777" w:rsidR="007B0297" w:rsidRDefault="007B0297">
    <w:pPr>
      <w:jc w:val="center"/>
      <w:rPr>
        <w:sz w:val="20"/>
        <w:szCs w:val="20"/>
      </w:rPr>
    </w:pPr>
  </w:p>
  <w:p w14:paraId="5EACC0F0" w14:textId="77777777" w:rsidR="007B0297" w:rsidRDefault="00000000">
    <w:pPr>
      <w:jc w:val="center"/>
      <w:rPr>
        <w:sz w:val="20"/>
        <w:szCs w:val="20"/>
      </w:rPr>
    </w:pPr>
    <w:r>
      <w:rPr>
        <w:sz w:val="20"/>
        <w:szCs w:val="20"/>
      </w:rPr>
      <w:t>Av. Antonio Pires Pimentel, nº 2015, Centro – CEP: 12.914-900 – Bragança Paulista - SP</w:t>
    </w:r>
  </w:p>
  <w:p w14:paraId="2472A8A2" w14:textId="77777777" w:rsidR="007B0297" w:rsidRDefault="00000000">
    <w:pPr>
      <w:jc w:val="center"/>
      <w:rPr>
        <w:sz w:val="20"/>
        <w:szCs w:val="20"/>
      </w:rPr>
    </w:pPr>
    <w:r>
      <w:rPr>
        <w:sz w:val="20"/>
        <w:szCs w:val="20"/>
      </w:rPr>
      <w:t xml:space="preserve">Telefone: (11) 4034-7100 </w:t>
    </w:r>
  </w:p>
  <w:p w14:paraId="5DBC027A" w14:textId="77777777" w:rsidR="007B0297" w:rsidRDefault="00000000">
    <w:pPr>
      <w:jc w:val="center"/>
      <w:rPr>
        <w:sz w:val="20"/>
        <w:szCs w:val="20"/>
      </w:rPr>
    </w:pPr>
    <w:r>
      <w:rPr>
        <w:sz w:val="20"/>
        <w:szCs w:val="20"/>
      </w:rPr>
      <w:t>www.braganca.sp.gov.br / gabinete@braganca.sp.gov.br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0B66A" w14:textId="77777777" w:rsidR="007B0297" w:rsidRDefault="007B0297">
    <w:pPr>
      <w:jc w:val="center"/>
      <w:rPr>
        <w:sz w:val="20"/>
        <w:szCs w:val="20"/>
      </w:rPr>
    </w:pPr>
  </w:p>
  <w:p w14:paraId="3812AE71" w14:textId="77777777" w:rsidR="007B0297" w:rsidRDefault="00000000">
    <w:pPr>
      <w:jc w:val="center"/>
      <w:rPr>
        <w:sz w:val="20"/>
        <w:szCs w:val="20"/>
      </w:rPr>
    </w:pPr>
    <w:r>
      <w:rPr>
        <w:sz w:val="20"/>
        <w:szCs w:val="20"/>
      </w:rPr>
      <w:t>Av. Antonio Pires Pimentel, nº 2015, Centro – CEP: 12.914-900 – Bragança Paulista - SP</w:t>
    </w:r>
  </w:p>
  <w:p w14:paraId="3FBAE5CA" w14:textId="77777777" w:rsidR="007B0297" w:rsidRDefault="00000000">
    <w:pPr>
      <w:jc w:val="center"/>
      <w:rPr>
        <w:sz w:val="20"/>
        <w:szCs w:val="20"/>
      </w:rPr>
    </w:pPr>
    <w:r>
      <w:rPr>
        <w:sz w:val="20"/>
        <w:szCs w:val="20"/>
      </w:rPr>
      <w:t xml:space="preserve">Telefone: (11) 4034-7100 </w:t>
    </w:r>
  </w:p>
  <w:p w14:paraId="000E4DD4" w14:textId="77777777" w:rsidR="007B0297" w:rsidRDefault="00000000">
    <w:pPr>
      <w:jc w:val="center"/>
      <w:rPr>
        <w:sz w:val="20"/>
        <w:szCs w:val="20"/>
      </w:rPr>
    </w:pPr>
    <w:r>
      <w:rPr>
        <w:sz w:val="20"/>
        <w:szCs w:val="20"/>
      </w:rPr>
      <w:t>www.braganca.sp.gov.br /.gabinete@braganca.sp.gov.br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8371E" w14:textId="77777777" w:rsidR="00A200F5" w:rsidRDefault="00A200F5">
      <w:r>
        <w:separator/>
      </w:r>
    </w:p>
  </w:footnote>
  <w:footnote w:type="continuationSeparator" w:id="0">
    <w:p w14:paraId="1BE32821" w14:textId="77777777" w:rsidR="00A200F5" w:rsidRDefault="00A20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43D14" w14:textId="440FCD68" w:rsidR="007B0297" w:rsidRDefault="00000000">
    <w:pPr>
      <w:ind w:right="15"/>
      <w:jc w:val="center"/>
      <w:rPr>
        <w:b/>
        <w:sz w:val="32"/>
        <w:szCs w:val="32"/>
      </w:rPr>
    </w:pPr>
    <w:r>
      <w:rPr>
        <w:noProof/>
      </w:rPr>
      <w:pict w14:anchorId="0E0FE5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31.8pt;margin-top:16.9pt;width:59.45pt;height:68.4pt;z-index:-1;visibility:visible;mso-wrap-style:square;mso-wrap-distance-left:9.05pt;mso-wrap-distance-top:0;mso-wrap-distance-right:9.05pt;mso-wrap-distance-bottom:0;mso-position-horizontal-relative:page;mso-position-vertical-relative:page">
          <v:imagedata r:id="rId1" o:title=""/>
          <w10:wrap type="square" anchorx="page" anchory="page"/>
        </v:shape>
      </w:pict>
    </w:r>
    <w:r w:rsidR="00CC7A86">
      <w:rPr>
        <w:b/>
        <w:sz w:val="32"/>
        <w:szCs w:val="32"/>
      </w:rPr>
      <w:t>Prefeitura do Município de Bragança Paulista</w:t>
    </w:r>
  </w:p>
  <w:p w14:paraId="3EE81DAE" w14:textId="77777777" w:rsidR="007B0297" w:rsidRDefault="00000000">
    <w:pPr>
      <w:pStyle w:val="Cabealho"/>
      <w:jc w:val="center"/>
    </w:pPr>
    <w:r>
      <w:rPr>
        <w:b/>
        <w:bCs/>
        <w:sz w:val="32"/>
        <w:szCs w:val="32"/>
      </w:rPr>
      <w:t>Gabinete do Prefeito</w:t>
    </w:r>
  </w:p>
  <w:p w14:paraId="69C767F6" w14:textId="77777777" w:rsidR="007B0297" w:rsidRDefault="007B029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3389B" w14:textId="082F9C46" w:rsidR="007B0297" w:rsidRDefault="00000000">
    <w:pPr>
      <w:ind w:right="15"/>
      <w:jc w:val="center"/>
      <w:rPr>
        <w:b/>
        <w:sz w:val="32"/>
        <w:szCs w:val="32"/>
      </w:rPr>
    </w:pPr>
    <w:r>
      <w:rPr>
        <w:noProof/>
      </w:rPr>
      <w:pict w14:anchorId="01430E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4" type="#_x0000_t75" style="position:absolute;left:0;text-align:left;margin-left:34.2pt;margin-top:16.85pt;width:59.45pt;height:68.4pt;z-index:-2;visibility:visible;mso-wrap-style:square;mso-wrap-distance-left:9.05pt;mso-wrap-distance-top:0;mso-wrap-distance-right:9.05pt;mso-wrap-distance-bottom:0;mso-position-horizontal-relative:page;mso-position-vertical-relative:page">
          <v:imagedata r:id="rId1" o:title=""/>
          <w10:wrap type="square" anchorx="page" anchory="page"/>
        </v:shape>
      </w:pict>
    </w:r>
    <w:r w:rsidR="00CC7A86">
      <w:rPr>
        <w:b/>
        <w:sz w:val="32"/>
        <w:szCs w:val="32"/>
      </w:rPr>
      <w:t>Prefeitura do Município de Bragança Paulista</w:t>
    </w:r>
  </w:p>
  <w:p w14:paraId="6E7F87A5" w14:textId="77777777" w:rsidR="007B0297" w:rsidRDefault="00000000">
    <w:pPr>
      <w:pStyle w:val="Cabealho"/>
      <w:jc w:val="center"/>
    </w:pPr>
    <w:r>
      <w:rPr>
        <w:b/>
        <w:bCs/>
        <w:sz w:val="32"/>
        <w:szCs w:val="32"/>
      </w:rPr>
      <w:t>Gabinete do Prefeito</w:t>
    </w:r>
  </w:p>
  <w:p w14:paraId="2D83B02A" w14:textId="77777777" w:rsidR="007B0297" w:rsidRDefault="007B029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984FDE4"/>
    <w:lvl w:ilvl="0">
      <w:start w:val="1"/>
      <w:numFmt w:val="decimal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89564398"/>
    <w:lvl w:ilvl="0">
      <w:start w:val="1"/>
      <w:numFmt w:val="upperRoman"/>
      <w:lvlText w:val="%1-"/>
      <w:lvlJc w:val="left"/>
      <w:pPr>
        <w:tabs>
          <w:tab w:val="num" w:pos="0"/>
        </w:tabs>
        <w:ind w:left="1080" w:hanging="720"/>
      </w:pPr>
      <w:rPr>
        <w:rFonts w:ascii="Arial" w:hAnsi="Arial" w:cs="Arial"/>
        <w:b/>
        <w:lang w:eastAsia="pt-BR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3AF50E3C"/>
    <w:multiLevelType w:val="multilevel"/>
    <w:tmpl w:val="06D8D3F0"/>
    <w:lvl w:ilvl="0">
      <w:start w:val="1"/>
      <w:numFmt w:val="lowerLetter"/>
      <w:lvlText w:val="%1)"/>
      <w:lvlJc w:val="left"/>
      <w:pPr>
        <w:ind w:left="2203" w:hanging="360"/>
      </w:pPr>
    </w:lvl>
    <w:lvl w:ilvl="1">
      <w:start w:val="1"/>
      <w:numFmt w:val="lowerLetter"/>
      <w:lvlText w:val="%2."/>
      <w:lvlJc w:val="left"/>
      <w:pPr>
        <w:ind w:left="2923" w:hanging="360"/>
      </w:pPr>
    </w:lvl>
    <w:lvl w:ilvl="2">
      <w:start w:val="1"/>
      <w:numFmt w:val="lowerRoman"/>
      <w:lvlText w:val="%3."/>
      <w:lvlJc w:val="right"/>
      <w:pPr>
        <w:ind w:left="3643" w:hanging="180"/>
      </w:pPr>
    </w:lvl>
    <w:lvl w:ilvl="3">
      <w:start w:val="1"/>
      <w:numFmt w:val="decimal"/>
      <w:lvlText w:val="%4."/>
      <w:lvlJc w:val="left"/>
      <w:pPr>
        <w:ind w:left="4363" w:hanging="360"/>
      </w:pPr>
    </w:lvl>
    <w:lvl w:ilvl="4">
      <w:start w:val="1"/>
      <w:numFmt w:val="lowerLetter"/>
      <w:lvlText w:val="%5."/>
      <w:lvlJc w:val="left"/>
      <w:pPr>
        <w:ind w:left="5083" w:hanging="360"/>
      </w:pPr>
    </w:lvl>
    <w:lvl w:ilvl="5">
      <w:start w:val="1"/>
      <w:numFmt w:val="lowerRoman"/>
      <w:lvlText w:val="%6."/>
      <w:lvlJc w:val="right"/>
      <w:pPr>
        <w:ind w:left="5803" w:hanging="180"/>
      </w:pPr>
    </w:lvl>
    <w:lvl w:ilvl="6">
      <w:start w:val="1"/>
      <w:numFmt w:val="decimal"/>
      <w:lvlText w:val="%7."/>
      <w:lvlJc w:val="left"/>
      <w:pPr>
        <w:ind w:left="6523" w:hanging="360"/>
      </w:pPr>
    </w:lvl>
    <w:lvl w:ilvl="7">
      <w:start w:val="1"/>
      <w:numFmt w:val="lowerLetter"/>
      <w:lvlText w:val="%8."/>
      <w:lvlJc w:val="left"/>
      <w:pPr>
        <w:ind w:left="7243" w:hanging="360"/>
      </w:pPr>
    </w:lvl>
    <w:lvl w:ilvl="8">
      <w:start w:val="1"/>
      <w:numFmt w:val="lowerRoman"/>
      <w:lvlText w:val="%9."/>
      <w:lvlJc w:val="right"/>
      <w:pPr>
        <w:ind w:left="7963" w:hanging="180"/>
      </w:pPr>
    </w:lvl>
  </w:abstractNum>
  <w:abstractNum w:abstractNumId="3" w15:restartNumberingAfterBreak="0">
    <w:nsid w:val="72E759E2"/>
    <w:multiLevelType w:val="multilevel"/>
    <w:tmpl w:val="80DE64BC"/>
    <w:lvl w:ilvl="0">
      <w:start w:val="1"/>
      <w:numFmt w:val="decimal"/>
      <w:lvlText w:val="%1."/>
      <w:lvlJc w:val="left"/>
      <w:pPr>
        <w:ind w:left="730" w:hanging="37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1030944">
    <w:abstractNumId w:val="0"/>
  </w:num>
  <w:num w:numId="2" w16cid:durableId="1159153408">
    <w:abstractNumId w:val="1"/>
  </w:num>
  <w:num w:numId="3" w16cid:durableId="107554596">
    <w:abstractNumId w:val="2"/>
  </w:num>
  <w:num w:numId="4" w16cid:durableId="1671760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0297"/>
    <w:rsid w:val="000E743E"/>
    <w:rsid w:val="00177FB2"/>
    <w:rsid w:val="0030240F"/>
    <w:rsid w:val="00322355"/>
    <w:rsid w:val="0040533A"/>
    <w:rsid w:val="00490767"/>
    <w:rsid w:val="005632CA"/>
    <w:rsid w:val="00603A58"/>
    <w:rsid w:val="007B0297"/>
    <w:rsid w:val="007F4647"/>
    <w:rsid w:val="00830E83"/>
    <w:rsid w:val="00836052"/>
    <w:rsid w:val="009106FB"/>
    <w:rsid w:val="00A200F5"/>
    <w:rsid w:val="00A472AE"/>
    <w:rsid w:val="00A54B81"/>
    <w:rsid w:val="00AA6692"/>
    <w:rsid w:val="00B6372D"/>
    <w:rsid w:val="00BF6001"/>
    <w:rsid w:val="00C70A35"/>
    <w:rsid w:val="00CC7A86"/>
    <w:rsid w:val="00D415A6"/>
    <w:rsid w:val="00D62231"/>
    <w:rsid w:val="00DA7BDD"/>
    <w:rsid w:val="00E953CF"/>
    <w:rsid w:val="00F0465F"/>
    <w:rsid w:val="00F12880"/>
    <w:rsid w:val="00F2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,"/>
  <w:listSeparator w:val=";"/>
  <w14:docId w14:val="64CBA672"/>
  <w15:docId w15:val="{3B50A9C2-4430-416A-9C79-171154BC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jc w:val="both"/>
      <w:outlineLvl w:val="0"/>
    </w:pPr>
    <w:rPr>
      <w:rFonts w:ascii="Arial" w:hAnsi="Arial" w:cs="Arial"/>
      <w:b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ind w:left="0" w:firstLine="2835"/>
      <w:jc w:val="both"/>
      <w:outlineLvl w:val="2"/>
    </w:pPr>
    <w:rPr>
      <w:rFonts w:ascii="Arial" w:hAnsi="Arial" w:cs="Arial"/>
      <w:b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outlineLvl w:val="5"/>
    </w:pPr>
    <w:rPr>
      <w:rFonts w:ascii="Arial" w:hAnsi="Arial" w:cs="Arial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tabs>
        <w:tab w:val="left" w:pos="2850"/>
        <w:tab w:val="left" w:pos="3615"/>
      </w:tabs>
      <w:ind w:left="0" w:right="49" w:firstLine="0"/>
      <w:outlineLvl w:val="8"/>
    </w:pPr>
    <w:rPr>
      <w:rFonts w:ascii="Arial" w:hAnsi="Arial" w:cs="Arial"/>
      <w:b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/>
        <w:left w:val="nil"/>
        <w:bottom w:val="single" w:sz="4" w:space="0" w:color="000000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i/>
      <w:iCs/>
      <w:color w:val="365F91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color w:val="365F91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i/>
      <w:iCs/>
      <w:color w:val="595959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color w:val="595959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color w:val="272727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har">
    <w:name w:val="Título Char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Pr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color w:val="00000A"/>
      <w:lang w:eastAsia="pt-BR"/>
    </w:rPr>
  </w:style>
  <w:style w:type="character" w:styleId="nfaseIntensa">
    <w:name w:val="Intense Emphasis"/>
    <w:uiPriority w:val="21"/>
    <w:qFormat/>
    <w:rPr>
      <w:i/>
      <w:iCs/>
      <w:color w:val="365F9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itaoIntensaChar">
    <w:name w:val="Citação Intensa Char"/>
    <w:link w:val="CitaoIntensa"/>
    <w:uiPriority w:val="30"/>
    <w:rPr>
      <w:i/>
      <w:iCs/>
      <w:color w:val="365F91"/>
    </w:rPr>
  </w:style>
  <w:style w:type="character" w:styleId="RefernciaIntensa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uiPriority w:val="19"/>
    <w:qFormat/>
    <w:rPr>
      <w:i/>
      <w:iCs/>
      <w:color w:val="404040"/>
    </w:rPr>
  </w:style>
  <w:style w:type="character" w:styleId="nfase">
    <w:name w:val="Emphasis"/>
    <w:uiPriority w:val="20"/>
    <w:qFormat/>
    <w:rPr>
      <w:i/>
      <w:iCs/>
    </w:rPr>
  </w:style>
  <w:style w:type="character" w:styleId="Forte">
    <w:name w:val="Strong"/>
    <w:qFormat/>
    <w:rPr>
      <w:b/>
    </w:rPr>
  </w:style>
  <w:style w:type="character" w:styleId="RefernciaSutil">
    <w:name w:val="Subtle Reference"/>
    <w:uiPriority w:val="31"/>
    <w:qFormat/>
    <w:rPr>
      <w:smallCaps/>
      <w:color w:val="5A5A5A"/>
    </w:rPr>
  </w:style>
  <w:style w:type="character" w:styleId="TtulodoLivro">
    <w:name w:val="Book Title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HeaderChar">
    <w:name w:val="Header Char"/>
    <w:basedOn w:val="Fontepargpadro"/>
    <w:uiPriority w:val="99"/>
  </w:style>
  <w:style w:type="paragraph" w:styleId="Rodap">
    <w:name w:val="footer"/>
    <w:basedOn w:val="Normal"/>
    <w:link w:val="RodapChar1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1">
    <w:name w:val="Rodapé Char1"/>
    <w:basedOn w:val="Fontepargpadro"/>
    <w:link w:val="Rodap"/>
    <w:uiPriority w:val="99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character" w:styleId="HiperlinkVisitado">
    <w:name w:val="FollowedHyperlink"/>
    <w:uiPriority w:val="99"/>
    <w:semiHidden/>
    <w:unhideWhenUsed/>
    <w:rPr>
      <w:color w:val="800080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uiPriority w:val="99"/>
    <w:semiHidden/>
    <w:rPr>
      <w:color w:val="666666"/>
    </w:rPr>
  </w:style>
  <w:style w:type="paragraph" w:styleId="CabealhodoSumrio">
    <w:name w:val="TOC Heading"/>
    <w:uiPriority w:val="39"/>
    <w:unhideWhenUsed/>
    <w:rPr>
      <w:lang w:eastAsia="zh-CN"/>
    </w:rPr>
  </w:style>
  <w:style w:type="paragraph" w:styleId="ndicedeilustraes">
    <w:name w:val="table of figures"/>
    <w:basedOn w:val="Normal"/>
    <w:next w:val="Normal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/>
      <w:lang w:eastAsia="pt-BR"/>
    </w:rPr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Recuodecorpodetexto2Char">
    <w:name w:val="Recuo de corpo de texto 2 Char"/>
    <w:rPr>
      <w:sz w:val="24"/>
      <w:szCs w:val="24"/>
    </w:rPr>
  </w:style>
  <w:style w:type="character" w:customStyle="1" w:styleId="RodapChar">
    <w:name w:val="Rodapé Char"/>
  </w:style>
  <w:style w:type="character" w:customStyle="1" w:styleId="WW8Num3z0">
    <w:name w:val="WW8Num3z0"/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Recuodecorpodetexto">
    <w:name w:val="Body Text Indent"/>
    <w:basedOn w:val="Normal"/>
    <w:pPr>
      <w:ind w:left="2832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pPr>
      <w:ind w:firstLine="2268"/>
      <w:jc w:val="both"/>
    </w:pPr>
    <w:rPr>
      <w:rFonts w:ascii="Arial" w:hAnsi="Arial" w:cs="Arial"/>
      <w:szCs w:val="20"/>
    </w:rPr>
  </w:style>
  <w:style w:type="paragraph" w:customStyle="1" w:styleId="Recuodecorpodetexto31">
    <w:name w:val="Recuo de corpo de texto 31"/>
    <w:basedOn w:val="Normal"/>
    <w:pPr>
      <w:ind w:left="2124" w:firstLine="6"/>
      <w:jc w:val="both"/>
    </w:pPr>
    <w:rPr>
      <w:b/>
    </w:r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eastAsia="pt-BR"/>
    </w:rPr>
  </w:style>
  <w:style w:type="paragraph" w:customStyle="1" w:styleId="Corpodetexto21">
    <w:name w:val="Corpo de texto 21"/>
    <w:basedOn w:val="Normal"/>
    <w:pPr>
      <w:jc w:val="both"/>
    </w:pPr>
    <w:rPr>
      <w:rFonts w:ascii="Verdana" w:hAnsi="Verdana" w:cs="Verdana"/>
    </w:rPr>
  </w:style>
  <w:style w:type="paragraph" w:customStyle="1" w:styleId="Standard">
    <w:name w:val="Standard"/>
    <w:qFormat/>
    <w:pPr>
      <w:widowControl w:val="0"/>
    </w:pPr>
    <w:rPr>
      <w:rFonts w:eastAsia="Andale Sans UI" w:cs="Tahoma"/>
      <w:sz w:val="24"/>
      <w:szCs w:val="24"/>
      <w:lang w:val="en-US" w:eastAsia="en-US" w:bidi="en-US"/>
    </w:rPr>
  </w:style>
  <w:style w:type="paragraph" w:customStyle="1" w:styleId="Textbodyindent">
    <w:name w:val="Text body indent"/>
    <w:basedOn w:val="Standard"/>
    <w:qFormat/>
    <w:pPr>
      <w:spacing w:after="120"/>
      <w:ind w:left="283"/>
    </w:pPr>
  </w:style>
  <w:style w:type="paragraph" w:styleId="Textodebalo">
    <w:name w:val="Balloon Text"/>
    <w:basedOn w:val="Normal"/>
    <w:link w:val="TextodebaloChar"/>
    <w:unhideWhenUsed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qFormat/>
    <w:rPr>
      <w:rFonts w:ascii="Segoe UI" w:hAnsi="Segoe UI" w:cs="Segoe UI"/>
      <w:sz w:val="18"/>
      <w:szCs w:val="18"/>
      <w:lang w:eastAsia="zh-CN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Pr>
      <w:color w:val="605E5C"/>
      <w:shd w:val="clear" w:color="auto" w:fill="E1DFDD"/>
    </w:rPr>
  </w:style>
  <w:style w:type="paragraph" w:customStyle="1" w:styleId="Textbody">
    <w:name w:val="Text body"/>
    <w:basedOn w:val="Standard"/>
    <w:pPr>
      <w:widowControl/>
      <w:jc w:val="both"/>
    </w:pPr>
    <w:rPr>
      <w:rFonts w:eastAsia="Times New Roman" w:cs="Times New Roman"/>
      <w:lang w:val="pt-BR" w:eastAsia="pt-BR" w:bidi="ar-SA"/>
    </w:rPr>
  </w:style>
  <w:style w:type="paragraph" w:customStyle="1" w:styleId="LO-Normal">
    <w:name w:val="LO-Normal"/>
    <w:pPr>
      <w:widowControl w:val="0"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character" w:customStyle="1" w:styleId="CabealhoChar">
    <w:name w:val="Cabeçalho Char"/>
    <w:link w:val="Cabealho"/>
    <w:uiPriority w:val="99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DAED2-7E2C-4D19-BAE8-7F57181B8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1080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CONVÊNIO QUE ENTRE SI CELEBRAM A PREFEITURA DE BRAGANÇ</vt:lpstr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CONVÊNIO QUE ENTRE SI CELEBRAM A PREFEITURA DE BRAGANÇ</dc:title>
  <dc:creator>dica</dc:creator>
  <cp:lastModifiedBy>MURIEL MITSUCO KOGIMA KIYUNA</cp:lastModifiedBy>
  <cp:revision>40</cp:revision>
  <cp:lastPrinted>2026-02-02T19:49:00Z</cp:lastPrinted>
  <dcterms:created xsi:type="dcterms:W3CDTF">2025-10-08T12:46:00Z</dcterms:created>
  <dcterms:modified xsi:type="dcterms:W3CDTF">2026-02-25T15:07:00Z</dcterms:modified>
  <cp:version>1048576</cp:version>
</cp:coreProperties>
</file>